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940E9" w14:textId="77777777" w:rsidR="00BF0C21" w:rsidRDefault="00BF0C21">
      <w:pPr>
        <w:jc w:val="center"/>
        <w:rPr>
          <w:b/>
          <w:sz w:val="44"/>
        </w:rPr>
      </w:pPr>
      <w:r>
        <w:rPr>
          <w:b/>
          <w:sz w:val="44"/>
        </w:rPr>
        <w:t>2021</w:t>
      </w:r>
      <w:r>
        <w:rPr>
          <w:rFonts w:hint="eastAsia"/>
          <w:b/>
          <w:sz w:val="44"/>
        </w:rPr>
        <w:t>黄淮海大农户春耕农资补充订货展览会</w:t>
      </w:r>
    </w:p>
    <w:p w14:paraId="630BEA42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一年之计在于春，“春种一粒粟，秋收万颗子”。节气不等人，春日胜黄金。春耕生产至关重要，为了更好的帮助农民朋友选购好农资，由郑州万泽展览展示有限公司主办的“</w:t>
      </w:r>
      <w:r>
        <w:rPr>
          <w:sz w:val="32"/>
        </w:rPr>
        <w:t>2021</w:t>
      </w:r>
      <w:r>
        <w:rPr>
          <w:rFonts w:hint="eastAsia"/>
          <w:sz w:val="32"/>
        </w:rPr>
        <w:t>黄淮海大农户春季农资补充订货展览会”将于</w:t>
      </w:r>
      <w:r>
        <w:rPr>
          <w:sz w:val="32"/>
        </w:rPr>
        <w:t>3</w:t>
      </w:r>
      <w:r>
        <w:rPr>
          <w:rFonts w:hint="eastAsia"/>
          <w:sz w:val="32"/>
        </w:rPr>
        <w:t>月</w:t>
      </w:r>
      <w:r>
        <w:rPr>
          <w:sz w:val="32"/>
        </w:rPr>
        <w:t>13—14</w:t>
      </w:r>
      <w:r>
        <w:rPr>
          <w:rFonts w:hint="eastAsia"/>
          <w:sz w:val="32"/>
        </w:rPr>
        <w:t>日在中原国际博览中心举办。</w:t>
      </w:r>
    </w:p>
    <w:p w14:paraId="5B26C7FB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会议主题：让农民买到放心的好种子、农药、肥料</w:t>
      </w:r>
    </w:p>
    <w:p w14:paraId="79D2D87F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主办单位：郑州万泽展览展示有限公司</w:t>
      </w:r>
    </w:p>
    <w:p w14:paraId="28C88B0E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承办单位：郑州万泽网络科技有限公司、农资点评、农资小货郎</w:t>
      </w:r>
    </w:p>
    <w:p w14:paraId="308B68EF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协办单位：火爆农资招商网、火爆农化招商网、一条农资</w:t>
      </w:r>
      <w:r w:rsidR="00142A5B">
        <w:rPr>
          <w:rFonts w:hint="eastAsia"/>
          <w:sz w:val="32"/>
        </w:rPr>
        <w:t>、农资搜索</w:t>
      </w:r>
    </w:p>
    <w:p w14:paraId="6F457249" w14:textId="77777777" w:rsidR="00BF0C21" w:rsidRDefault="00BF0C21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一、展览日程安排</w:t>
      </w:r>
    </w:p>
    <w:p w14:paraId="563E5613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布展日期：</w:t>
      </w:r>
      <w:r>
        <w:rPr>
          <w:sz w:val="32"/>
        </w:rPr>
        <w:t>2021</w:t>
      </w:r>
      <w:r>
        <w:rPr>
          <w:rFonts w:hint="eastAsia"/>
          <w:sz w:val="32"/>
        </w:rPr>
        <w:t>年</w:t>
      </w:r>
      <w:r>
        <w:rPr>
          <w:sz w:val="32"/>
        </w:rPr>
        <w:t>3</w:t>
      </w:r>
      <w:r>
        <w:rPr>
          <w:rFonts w:hint="eastAsia"/>
          <w:sz w:val="32"/>
        </w:rPr>
        <w:t>月</w:t>
      </w:r>
      <w:r>
        <w:rPr>
          <w:sz w:val="32"/>
        </w:rPr>
        <w:t>11—12</w:t>
      </w:r>
      <w:r>
        <w:rPr>
          <w:rFonts w:hint="eastAsia"/>
          <w:sz w:val="32"/>
        </w:rPr>
        <w:t>日</w:t>
      </w:r>
    </w:p>
    <w:p w14:paraId="307904F9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展览日期：</w:t>
      </w:r>
      <w:r>
        <w:rPr>
          <w:sz w:val="32"/>
        </w:rPr>
        <w:t>2021</w:t>
      </w:r>
      <w:r>
        <w:rPr>
          <w:rFonts w:hint="eastAsia"/>
          <w:sz w:val="32"/>
        </w:rPr>
        <w:t>年</w:t>
      </w:r>
      <w:r>
        <w:rPr>
          <w:sz w:val="32"/>
        </w:rPr>
        <w:t>3</w:t>
      </w:r>
      <w:r>
        <w:rPr>
          <w:rFonts w:hint="eastAsia"/>
          <w:sz w:val="32"/>
        </w:rPr>
        <w:t>月</w:t>
      </w:r>
      <w:r>
        <w:rPr>
          <w:sz w:val="32"/>
        </w:rPr>
        <w:t>13—14</w:t>
      </w:r>
      <w:r>
        <w:rPr>
          <w:rFonts w:hint="eastAsia"/>
          <w:sz w:val="32"/>
        </w:rPr>
        <w:t>日</w:t>
      </w:r>
    </w:p>
    <w:p w14:paraId="2DC097C7" w14:textId="77777777" w:rsidR="00BF0C21" w:rsidRDefault="00BF0C21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二、大会优势</w:t>
      </w:r>
    </w:p>
    <w:p w14:paraId="508B8688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1</w:t>
      </w:r>
      <w:r>
        <w:rPr>
          <w:rFonts w:hint="eastAsia"/>
          <w:sz w:val="32"/>
        </w:rPr>
        <w:t>、豪送价值</w:t>
      </w:r>
      <w:r>
        <w:rPr>
          <w:sz w:val="32"/>
        </w:rPr>
        <w:t>60</w:t>
      </w:r>
      <w:r>
        <w:rPr>
          <w:rFonts w:hint="eastAsia"/>
          <w:sz w:val="32"/>
        </w:rPr>
        <w:t>万农资大奖、人气超旺：</w:t>
      </w:r>
    </w:p>
    <w:p w14:paraId="13B4F610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现场将有</w:t>
      </w:r>
      <w:r>
        <w:rPr>
          <w:sz w:val="32"/>
        </w:rPr>
        <w:t>20000+</w:t>
      </w:r>
      <w:r>
        <w:rPr>
          <w:rFonts w:hint="eastAsia"/>
          <w:sz w:val="32"/>
        </w:rPr>
        <w:t>（经销商、零售商、种粮大户、种地大户）观众</w:t>
      </w:r>
    </w:p>
    <w:p w14:paraId="20507172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2</w:t>
      </w:r>
      <w:r>
        <w:rPr>
          <w:rFonts w:hint="eastAsia"/>
          <w:sz w:val="32"/>
        </w:rPr>
        <w:t>、精准引流：</w:t>
      </w:r>
    </w:p>
    <w:p w14:paraId="491CEDA4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凡是参展企业，组委会定点帮扶精准营销、产品推广</w:t>
      </w:r>
    </w:p>
    <w:p w14:paraId="75D59480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3</w:t>
      </w:r>
      <w:r>
        <w:rPr>
          <w:rFonts w:hint="eastAsia"/>
          <w:sz w:val="32"/>
        </w:rPr>
        <w:t>、补充订货：</w:t>
      </w:r>
    </w:p>
    <w:p w14:paraId="1DAEF03B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春耕是农药、肥料等农资产品订货需求旺季</w:t>
      </w:r>
    </w:p>
    <w:p w14:paraId="5B42D97B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4</w:t>
      </w:r>
      <w:r>
        <w:rPr>
          <w:rFonts w:hint="eastAsia"/>
          <w:sz w:val="32"/>
        </w:rPr>
        <w:t>、超值回报：</w:t>
      </w:r>
    </w:p>
    <w:p w14:paraId="2E9E198E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lastRenderedPageBreak/>
        <w:t>凡是参展企业，即可获得价值</w:t>
      </w:r>
      <w:r>
        <w:rPr>
          <w:sz w:val="32"/>
        </w:rPr>
        <w:t>3999</w:t>
      </w:r>
      <w:r>
        <w:rPr>
          <w:rFonts w:hint="eastAsia"/>
          <w:sz w:val="32"/>
        </w:rPr>
        <w:t>元农资小货郎自动销货工具包一套</w:t>
      </w:r>
      <w:r>
        <w:rPr>
          <w:sz w:val="32"/>
        </w:rPr>
        <w:t xml:space="preserve"> </w:t>
      </w:r>
    </w:p>
    <w:p w14:paraId="02471636" w14:textId="77777777" w:rsidR="00BF0C21" w:rsidRDefault="00BF0C21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四、展览范围</w:t>
      </w:r>
    </w:p>
    <w:p w14:paraId="7C2BBCE0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一、农药展区</w:t>
      </w:r>
    </w:p>
    <w:p w14:paraId="34F9E479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杀虫剂、杀菌剂、杀螨剂、杀鼠剂、除草剂、特异剂和植物、生长调节剂等；</w:t>
      </w:r>
    </w:p>
    <w:p w14:paraId="71BED38A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二、肥料展区</w:t>
      </w:r>
    </w:p>
    <w:p w14:paraId="40C65051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a.</w:t>
      </w:r>
      <w:r>
        <w:rPr>
          <w:rFonts w:hint="eastAsia"/>
          <w:sz w:val="32"/>
        </w:rPr>
        <w:t>海藻肥、氨基酸肥料、腐植酸肥料、</w:t>
      </w:r>
      <w:r>
        <w:rPr>
          <w:sz w:val="32"/>
        </w:rPr>
        <w:t>edta</w:t>
      </w:r>
      <w:r>
        <w:rPr>
          <w:rFonts w:hint="eastAsia"/>
          <w:sz w:val="32"/>
        </w:rPr>
        <w:t>系列、氨酸螯合肥；</w:t>
      </w:r>
    </w:p>
    <w:p w14:paraId="1303FE95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b.</w:t>
      </w:r>
      <w:r>
        <w:rPr>
          <w:rFonts w:hint="eastAsia"/>
          <w:sz w:val="32"/>
        </w:rPr>
        <w:t>缓控释肥、生态肥、高效肥、复混肥、环保肥料；</w:t>
      </w:r>
    </w:p>
    <w:p w14:paraId="1B4A54BA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c.</w:t>
      </w:r>
      <w:r>
        <w:rPr>
          <w:rFonts w:hint="eastAsia"/>
          <w:sz w:val="32"/>
        </w:rPr>
        <w:t>有机天然肥、叶面肥、液肥、冲施肥、育苗肥；</w:t>
      </w:r>
    </w:p>
    <w:p w14:paraId="0DA118B3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d.bb</w:t>
      </w:r>
      <w:r>
        <w:rPr>
          <w:rFonts w:hint="eastAsia"/>
          <w:sz w:val="32"/>
        </w:rPr>
        <w:t>肥、专用肥、料土壤改良剂、表面活性剂、褐煤</w:t>
      </w:r>
      <w:r>
        <w:rPr>
          <w:sz w:val="32"/>
        </w:rPr>
        <w:t xml:space="preserve"> </w:t>
      </w:r>
      <w:r>
        <w:rPr>
          <w:rFonts w:hint="eastAsia"/>
          <w:sz w:val="32"/>
        </w:rPr>
        <w:t>；</w:t>
      </w:r>
    </w:p>
    <w:p w14:paraId="783D362F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e.</w:t>
      </w:r>
      <w:r>
        <w:rPr>
          <w:rFonts w:hint="eastAsia"/>
          <w:sz w:val="32"/>
        </w:rPr>
        <w:t>氮肥、磷肥、钾肥、复合肥；</w:t>
      </w:r>
    </w:p>
    <w:p w14:paraId="5F549AE4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三、种子展区</w:t>
      </w:r>
    </w:p>
    <w:p w14:paraId="4BC6F35F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大田种子、蔬菜种子、种苗加工、包装机械、包衣剂机，色选机、穴盘、育苗容器等；</w:t>
      </w:r>
    </w:p>
    <w:p w14:paraId="2A73557C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四、其它</w:t>
      </w:r>
    </w:p>
    <w:p w14:paraId="25A344F3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1</w:t>
      </w:r>
      <w:r>
        <w:rPr>
          <w:rFonts w:hint="eastAsia"/>
          <w:sz w:val="32"/>
        </w:rPr>
        <w:t>、包装机械：含制造、灌装设备，注塑机，喷码机，农药瓶等；</w:t>
      </w:r>
    </w:p>
    <w:p w14:paraId="0398DC06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2</w:t>
      </w:r>
      <w:r>
        <w:rPr>
          <w:rFonts w:hint="eastAsia"/>
          <w:sz w:val="32"/>
        </w:rPr>
        <w:t>、农资电商、农资杂志、网站、媒体等；</w:t>
      </w:r>
    </w:p>
    <w:p w14:paraId="1A3D7912" w14:textId="77777777" w:rsidR="00BF0C21" w:rsidRDefault="00BF0C21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五、宣传推广</w:t>
      </w:r>
    </w:p>
    <w:p w14:paraId="435A656E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1</w:t>
      </w:r>
      <w:r>
        <w:rPr>
          <w:rFonts w:hint="eastAsia"/>
          <w:sz w:val="32"/>
        </w:rPr>
        <w:t>、网络媒体和平面媒体：火爆农资招商网、中国农化招商网、北方农资、中国农资经销商网、农资与市场网、水肥网、好农资招商网、中国农药第一网、聚农网、中国园林植保网、一览农药英才网、小喇叭农资网、全国农资交流、中国农资人才网、中国化肥人才网、</w:t>
      </w:r>
      <w:r>
        <w:rPr>
          <w:rFonts w:hint="eastAsia"/>
          <w:sz w:val="32"/>
        </w:rPr>
        <w:lastRenderedPageBreak/>
        <w:t>中国农资网、中国农药人才网、百万农资招商网、河北科技报、农资经销商杂志、悦戈农资网、农汇平台、农资导报、中国种业商务网、一条农资。</w:t>
      </w:r>
    </w:p>
    <w:p w14:paraId="7DF20825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2</w:t>
      </w:r>
      <w:r>
        <w:rPr>
          <w:rFonts w:hint="eastAsia"/>
          <w:sz w:val="32"/>
        </w:rPr>
        <w:t>、组委会派出</w:t>
      </w:r>
      <w:r>
        <w:rPr>
          <w:sz w:val="32"/>
        </w:rPr>
        <w:t>5</w:t>
      </w:r>
      <w:r>
        <w:rPr>
          <w:rFonts w:hint="eastAsia"/>
          <w:sz w:val="32"/>
        </w:rPr>
        <w:t>个宣传小组到河南省及周边省市的苏北、鲁南、皖北、湖北、关中等地区的</w:t>
      </w:r>
      <w:r>
        <w:rPr>
          <w:sz w:val="32"/>
        </w:rPr>
        <w:t>200</w:t>
      </w:r>
      <w:r>
        <w:rPr>
          <w:rFonts w:hint="eastAsia"/>
          <w:sz w:val="32"/>
        </w:rPr>
        <w:t>多个县</w:t>
      </w:r>
      <w:r>
        <w:rPr>
          <w:sz w:val="32"/>
        </w:rPr>
        <w:t>3000</w:t>
      </w:r>
      <w:r>
        <w:rPr>
          <w:rFonts w:hint="eastAsia"/>
          <w:sz w:val="32"/>
        </w:rPr>
        <w:t>多个乡进行发放大会门票的邀请工作。并在沿途粘贴展会宣传树贴。</w:t>
      </w:r>
    </w:p>
    <w:p w14:paraId="492F75D1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3</w:t>
      </w:r>
      <w:r>
        <w:rPr>
          <w:rFonts w:hint="eastAsia"/>
          <w:sz w:val="32"/>
        </w:rPr>
        <w:t>、组委会适时组织人员到其他省市同行业展会上发放门票，扩大展会在全国的影响力。</w:t>
      </w:r>
    </w:p>
    <w:p w14:paraId="3CC7AEDD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4</w:t>
      </w:r>
      <w:r>
        <w:rPr>
          <w:rFonts w:hint="eastAsia"/>
          <w:sz w:val="32"/>
        </w:rPr>
        <w:t>、经销商数据库</w:t>
      </w:r>
      <w:r>
        <w:rPr>
          <w:sz w:val="32"/>
        </w:rPr>
        <w:t>300000+</w:t>
      </w:r>
      <w:r>
        <w:rPr>
          <w:rFonts w:hint="eastAsia"/>
          <w:sz w:val="32"/>
        </w:rPr>
        <w:t>，电话邀约与短信推送会议信息。</w:t>
      </w:r>
    </w:p>
    <w:p w14:paraId="538C2941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5</w:t>
      </w:r>
      <w:r>
        <w:rPr>
          <w:rFonts w:hint="eastAsia"/>
          <w:sz w:val="32"/>
        </w:rPr>
        <w:t>、新媒体平台定期推送（今日头条、抖音、微信朋友圈等）。</w:t>
      </w:r>
    </w:p>
    <w:p w14:paraId="43177BB4" w14:textId="77777777" w:rsidR="00BF0C21" w:rsidRDefault="00BF0C21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六、展位费用</w:t>
      </w:r>
    </w:p>
    <w:p w14:paraId="76F1811A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标展</w:t>
      </w:r>
      <w:r>
        <w:rPr>
          <w:sz w:val="32"/>
        </w:rPr>
        <w:t>(3mx3m)4500</w:t>
      </w:r>
      <w:r>
        <w:rPr>
          <w:rFonts w:hint="eastAsia"/>
          <w:sz w:val="32"/>
        </w:rPr>
        <w:t>元</w:t>
      </w:r>
      <w:r>
        <w:rPr>
          <w:sz w:val="32"/>
        </w:rPr>
        <w:t>/</w:t>
      </w:r>
      <w:r>
        <w:rPr>
          <w:rFonts w:hint="eastAsia"/>
          <w:sz w:val="32"/>
        </w:rPr>
        <w:t>个（备注：国际标准展位双开口另加收</w:t>
      </w:r>
      <w:r>
        <w:rPr>
          <w:sz w:val="32"/>
        </w:rPr>
        <w:t>500</w:t>
      </w:r>
      <w:r>
        <w:rPr>
          <w:rFonts w:hint="eastAsia"/>
          <w:sz w:val="32"/>
        </w:rPr>
        <w:t>元</w:t>
      </w:r>
      <w:r>
        <w:rPr>
          <w:sz w:val="32"/>
        </w:rPr>
        <w:t>/</w:t>
      </w:r>
      <w:r>
        <w:rPr>
          <w:rFonts w:hint="eastAsia"/>
          <w:sz w:val="32"/>
        </w:rPr>
        <w:t>个）</w:t>
      </w:r>
    </w:p>
    <w:p w14:paraId="29F2C50C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微特</w:t>
      </w:r>
      <w:r>
        <w:rPr>
          <w:sz w:val="32"/>
        </w:rPr>
        <w:t>(6mx3m)12000</w:t>
      </w:r>
      <w:r>
        <w:rPr>
          <w:rFonts w:hint="eastAsia"/>
          <w:sz w:val="32"/>
        </w:rPr>
        <w:t>元</w:t>
      </w:r>
      <w:r>
        <w:rPr>
          <w:sz w:val="32"/>
        </w:rPr>
        <w:t>/</w:t>
      </w:r>
      <w:r>
        <w:rPr>
          <w:rFonts w:hint="eastAsia"/>
          <w:sz w:val="32"/>
        </w:rPr>
        <w:t>个</w:t>
      </w:r>
      <w:r>
        <w:rPr>
          <w:sz w:val="32"/>
        </w:rPr>
        <w:t>(</w:t>
      </w:r>
      <w:r>
        <w:rPr>
          <w:rFonts w:hint="eastAsia"/>
          <w:sz w:val="32"/>
        </w:rPr>
        <w:t>含搭建，不含设计</w:t>
      </w:r>
      <w:r>
        <w:rPr>
          <w:sz w:val="32"/>
        </w:rPr>
        <w:t xml:space="preserve">)   </w:t>
      </w:r>
    </w:p>
    <w:p w14:paraId="617E27E9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特展</w:t>
      </w:r>
      <w:r>
        <w:rPr>
          <w:sz w:val="32"/>
        </w:rPr>
        <w:t>(</w:t>
      </w:r>
      <w:r>
        <w:rPr>
          <w:rFonts w:hint="eastAsia"/>
          <w:sz w:val="32"/>
        </w:rPr>
        <w:t>≥</w:t>
      </w:r>
      <w:r>
        <w:rPr>
          <w:sz w:val="32"/>
        </w:rPr>
        <w:t>36</w:t>
      </w:r>
      <w:r>
        <w:rPr>
          <w:rFonts w:hint="eastAsia"/>
          <w:sz w:val="32"/>
        </w:rPr>
        <w:t>㎡</w:t>
      </w:r>
      <w:r>
        <w:rPr>
          <w:sz w:val="32"/>
        </w:rPr>
        <w:t>)500</w:t>
      </w:r>
      <w:r>
        <w:rPr>
          <w:rFonts w:hint="eastAsia"/>
          <w:sz w:val="32"/>
        </w:rPr>
        <w:t>元</w:t>
      </w:r>
      <w:r>
        <w:rPr>
          <w:sz w:val="32"/>
        </w:rPr>
        <w:t>/</w:t>
      </w:r>
      <w:r>
        <w:rPr>
          <w:rFonts w:hint="eastAsia"/>
          <w:sz w:val="32"/>
        </w:rPr>
        <w:t>平方（光地）</w:t>
      </w:r>
    </w:p>
    <w:p w14:paraId="3FCE0B95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国际标准展位规格为</w:t>
      </w:r>
      <w:r>
        <w:rPr>
          <w:sz w:val="32"/>
        </w:rPr>
        <w:t>3mx3m</w:t>
      </w:r>
      <w:r>
        <w:rPr>
          <w:rFonts w:hint="eastAsia"/>
          <w:sz w:val="32"/>
        </w:rPr>
        <w:t>，包括三面围板，公司名称楣板，咨询桌一张、椅子</w:t>
      </w:r>
      <w:r>
        <w:rPr>
          <w:sz w:val="32"/>
        </w:rPr>
        <w:t>2</w:t>
      </w:r>
      <w:r>
        <w:rPr>
          <w:rFonts w:hint="eastAsia"/>
          <w:sz w:val="32"/>
        </w:rPr>
        <w:t>把、灯</w:t>
      </w:r>
      <w:r>
        <w:rPr>
          <w:sz w:val="32"/>
        </w:rPr>
        <w:t>2</w:t>
      </w:r>
      <w:r>
        <w:rPr>
          <w:rFonts w:hint="eastAsia"/>
          <w:sz w:val="32"/>
        </w:rPr>
        <w:t>盏、电源插座一个（特殊用电请事先说明，另行收费）</w:t>
      </w:r>
    </w:p>
    <w:p w14:paraId="5E9F2938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特展光地不带任何展架及设施。</w:t>
      </w:r>
    </w:p>
    <w:p w14:paraId="1AFD3E3C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为企业提供更多的宣传和展示平台，大会将邀请几家品牌企业参与协办大会及冠名，并给予赞助条件汇报。</w:t>
      </w:r>
      <w:r>
        <w:rPr>
          <w:sz w:val="32"/>
        </w:rPr>
        <w:t xml:space="preserve">   </w:t>
      </w:r>
    </w:p>
    <w:p w14:paraId="00494510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lastRenderedPageBreak/>
        <w:t>《大会会刊》为参展企业登载公司简介和招商产品供求信息，印量大，发行面广，是企业参加农药会进行形像、参展产品招商推广的重要会刊刊物，组委会现场免费赠送参会的经销商</w:t>
      </w:r>
      <w:r>
        <w:rPr>
          <w:sz w:val="32"/>
        </w:rPr>
        <w:t>;</w:t>
      </w:r>
    </w:p>
    <w:p w14:paraId="15EB324F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参展企业免费入编名录以及</w:t>
      </w:r>
      <w:r>
        <w:rPr>
          <w:sz w:val="32"/>
        </w:rPr>
        <w:t>300</w:t>
      </w:r>
      <w:r>
        <w:rPr>
          <w:rFonts w:hint="eastAsia"/>
          <w:sz w:val="32"/>
        </w:rPr>
        <w:t>字左右企业简介；</w:t>
      </w:r>
    </w:p>
    <w:p w14:paraId="7AF5BCB7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广告服务</w:t>
      </w:r>
    </w:p>
    <w:p w14:paraId="4055B3A5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门票广告：</w:t>
      </w:r>
      <w:r>
        <w:rPr>
          <w:sz w:val="32"/>
        </w:rPr>
        <w:t>20000</w:t>
      </w:r>
      <w:r>
        <w:rPr>
          <w:rFonts w:hint="eastAsia"/>
          <w:sz w:val="32"/>
        </w:rPr>
        <w:t>元</w:t>
      </w:r>
      <w:r>
        <w:rPr>
          <w:sz w:val="32"/>
        </w:rPr>
        <w:t>/10000</w:t>
      </w:r>
      <w:r>
        <w:rPr>
          <w:rFonts w:hint="eastAsia"/>
          <w:sz w:val="32"/>
        </w:rPr>
        <w:t>张</w:t>
      </w:r>
      <w:r>
        <w:rPr>
          <w:sz w:val="32"/>
        </w:rPr>
        <w:t xml:space="preserve">       </w:t>
      </w:r>
      <w:r>
        <w:rPr>
          <w:rFonts w:hint="eastAsia"/>
          <w:sz w:val="32"/>
        </w:rPr>
        <w:t>注水旗：</w:t>
      </w:r>
      <w:r>
        <w:rPr>
          <w:sz w:val="32"/>
        </w:rPr>
        <w:t>1000</w:t>
      </w:r>
      <w:r>
        <w:rPr>
          <w:rFonts w:hint="eastAsia"/>
          <w:sz w:val="32"/>
        </w:rPr>
        <w:t>元</w:t>
      </w:r>
      <w:r>
        <w:rPr>
          <w:sz w:val="32"/>
        </w:rPr>
        <w:t>/</w:t>
      </w:r>
      <w:r>
        <w:rPr>
          <w:rFonts w:hint="eastAsia"/>
          <w:sz w:val="32"/>
        </w:rPr>
        <w:t>面</w:t>
      </w:r>
    </w:p>
    <w:p w14:paraId="32D9940A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参展证背面广告：</w:t>
      </w:r>
      <w:r>
        <w:rPr>
          <w:sz w:val="32"/>
        </w:rPr>
        <w:t>10000</w:t>
      </w:r>
      <w:r>
        <w:rPr>
          <w:rFonts w:hint="eastAsia"/>
          <w:sz w:val="32"/>
        </w:rPr>
        <w:t>元</w:t>
      </w:r>
      <w:r>
        <w:rPr>
          <w:sz w:val="32"/>
        </w:rPr>
        <w:t>/5000</w:t>
      </w:r>
      <w:r>
        <w:rPr>
          <w:rFonts w:hint="eastAsia"/>
          <w:sz w:val="32"/>
        </w:rPr>
        <w:t>份</w:t>
      </w:r>
      <w:r>
        <w:rPr>
          <w:sz w:val="32"/>
        </w:rPr>
        <w:t xml:space="preserve">  </w:t>
      </w:r>
      <w:r>
        <w:rPr>
          <w:rFonts w:hint="eastAsia"/>
          <w:sz w:val="32"/>
        </w:rPr>
        <w:t>现场喷绘：</w:t>
      </w:r>
      <w:r>
        <w:rPr>
          <w:sz w:val="32"/>
        </w:rPr>
        <w:t>200</w:t>
      </w:r>
      <w:r>
        <w:rPr>
          <w:rFonts w:hint="eastAsia"/>
          <w:sz w:val="32"/>
        </w:rPr>
        <w:t>元</w:t>
      </w:r>
      <w:r>
        <w:rPr>
          <w:sz w:val="32"/>
        </w:rPr>
        <w:t>/</w:t>
      </w:r>
      <w:r>
        <w:rPr>
          <w:rFonts w:hint="eastAsia"/>
          <w:sz w:val="32"/>
        </w:rPr>
        <w:t>㎡</w:t>
      </w:r>
    </w:p>
    <w:p w14:paraId="601107F7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手提袋广告：</w:t>
      </w:r>
      <w:r>
        <w:rPr>
          <w:sz w:val="32"/>
        </w:rPr>
        <w:t>20000</w:t>
      </w:r>
      <w:r>
        <w:rPr>
          <w:rFonts w:hint="eastAsia"/>
          <w:sz w:val="32"/>
        </w:rPr>
        <w:t>元</w:t>
      </w:r>
      <w:r>
        <w:rPr>
          <w:sz w:val="32"/>
        </w:rPr>
        <w:t>/5000</w:t>
      </w:r>
      <w:r>
        <w:rPr>
          <w:rFonts w:hint="eastAsia"/>
          <w:sz w:val="32"/>
        </w:rPr>
        <w:t>个</w:t>
      </w:r>
      <w:r>
        <w:rPr>
          <w:sz w:val="32"/>
        </w:rPr>
        <w:t xml:space="preserve">      </w:t>
      </w:r>
      <w:r>
        <w:rPr>
          <w:rFonts w:hint="eastAsia"/>
          <w:sz w:val="32"/>
        </w:rPr>
        <w:t>彩虹门：</w:t>
      </w:r>
      <w:r>
        <w:rPr>
          <w:sz w:val="32"/>
        </w:rPr>
        <w:t>5000</w:t>
      </w:r>
      <w:r>
        <w:rPr>
          <w:rFonts w:hint="eastAsia"/>
          <w:sz w:val="32"/>
        </w:rPr>
        <w:t>元</w:t>
      </w:r>
      <w:r>
        <w:rPr>
          <w:sz w:val="32"/>
        </w:rPr>
        <w:t>/</w:t>
      </w:r>
      <w:r>
        <w:rPr>
          <w:rFonts w:hint="eastAsia"/>
          <w:sz w:val="32"/>
        </w:rPr>
        <w:t>展期</w:t>
      </w:r>
      <w:r>
        <w:rPr>
          <w:sz w:val="32"/>
        </w:rPr>
        <w:t>/</w:t>
      </w:r>
      <w:r>
        <w:rPr>
          <w:rFonts w:hint="eastAsia"/>
          <w:sz w:val="32"/>
        </w:rPr>
        <w:t>个</w:t>
      </w:r>
    </w:p>
    <w:p w14:paraId="086B81C0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彩色封面：</w:t>
      </w:r>
      <w:r>
        <w:rPr>
          <w:sz w:val="32"/>
        </w:rPr>
        <w:t>10000</w:t>
      </w:r>
      <w:r>
        <w:rPr>
          <w:rFonts w:hint="eastAsia"/>
          <w:sz w:val="32"/>
        </w:rPr>
        <w:t>元</w:t>
      </w:r>
      <w:r>
        <w:rPr>
          <w:sz w:val="32"/>
        </w:rPr>
        <w:t xml:space="preserve">               </w:t>
      </w:r>
      <w:r>
        <w:rPr>
          <w:rFonts w:hint="eastAsia"/>
          <w:sz w:val="32"/>
        </w:rPr>
        <w:t>彩色扉页：</w:t>
      </w:r>
      <w:r>
        <w:rPr>
          <w:sz w:val="32"/>
        </w:rPr>
        <w:t>6000</w:t>
      </w:r>
      <w:r>
        <w:rPr>
          <w:rFonts w:hint="eastAsia"/>
          <w:sz w:val="32"/>
        </w:rPr>
        <w:t>元</w:t>
      </w:r>
    </w:p>
    <w:p w14:paraId="1F5D4F42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彩色封二：</w:t>
      </w:r>
      <w:r>
        <w:rPr>
          <w:sz w:val="32"/>
        </w:rPr>
        <w:t>6000</w:t>
      </w:r>
      <w:r>
        <w:rPr>
          <w:rFonts w:hint="eastAsia"/>
          <w:sz w:val="32"/>
        </w:rPr>
        <w:t>元</w:t>
      </w:r>
      <w:r>
        <w:rPr>
          <w:sz w:val="32"/>
        </w:rPr>
        <w:t xml:space="preserve">                </w:t>
      </w:r>
      <w:r>
        <w:rPr>
          <w:rFonts w:hint="eastAsia"/>
          <w:sz w:val="32"/>
        </w:rPr>
        <w:t>彩色通版：</w:t>
      </w:r>
      <w:r>
        <w:rPr>
          <w:sz w:val="32"/>
        </w:rPr>
        <w:t>5000</w:t>
      </w:r>
      <w:r>
        <w:rPr>
          <w:rFonts w:hint="eastAsia"/>
          <w:sz w:val="32"/>
        </w:rPr>
        <w:t>元</w:t>
      </w:r>
    </w:p>
    <w:p w14:paraId="59B66CC5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彩色插页：</w:t>
      </w:r>
      <w:r>
        <w:rPr>
          <w:sz w:val="32"/>
        </w:rPr>
        <w:t>3000</w:t>
      </w:r>
      <w:r>
        <w:rPr>
          <w:rFonts w:hint="eastAsia"/>
          <w:sz w:val="32"/>
        </w:rPr>
        <w:t>元</w:t>
      </w:r>
      <w:r>
        <w:rPr>
          <w:sz w:val="32"/>
        </w:rPr>
        <w:t xml:space="preserve">                </w:t>
      </w:r>
      <w:r>
        <w:rPr>
          <w:rFonts w:hint="eastAsia"/>
          <w:sz w:val="32"/>
        </w:rPr>
        <w:t>黑白插页：</w:t>
      </w:r>
      <w:r>
        <w:rPr>
          <w:sz w:val="32"/>
        </w:rPr>
        <w:t>1000</w:t>
      </w:r>
      <w:r>
        <w:rPr>
          <w:rFonts w:hint="eastAsia"/>
          <w:sz w:val="32"/>
        </w:rPr>
        <w:t>元</w:t>
      </w:r>
    </w:p>
    <w:p w14:paraId="46779A95" w14:textId="77777777" w:rsidR="00BF0C21" w:rsidRDefault="00BF0C21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七、参会流程及友情提示</w:t>
      </w:r>
    </w:p>
    <w:p w14:paraId="757217DF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各参展企业：</w:t>
      </w:r>
    </w:p>
    <w:p w14:paraId="350ACCBC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为规范企业参展行为，保护参展企业合法权益。为商家提供诚信、安全、健康、有序的信息交流平台，根据《展会知识产权保护办法》等有关规定，就参展有关事项提示如下：</w:t>
      </w:r>
    </w:p>
    <w:p w14:paraId="7A5D128C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1</w:t>
      </w:r>
      <w:r>
        <w:rPr>
          <w:rFonts w:hint="eastAsia"/>
          <w:sz w:val="32"/>
        </w:rPr>
        <w:t>、参会企业必须服从大会统一安排，自觉遵守当地有关规定承诺不侵犯知识产权，不违规宣传。在广场及展馆展示宣传时禁止使用大分贝音响，防止制造较大的噪音而影响他人。自觉维护展馆内环境卫生，不遗撒宣传品。</w:t>
      </w:r>
    </w:p>
    <w:p w14:paraId="5F9D8549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2</w:t>
      </w:r>
      <w:r>
        <w:rPr>
          <w:rFonts w:hint="eastAsia"/>
          <w:sz w:val="32"/>
        </w:rPr>
        <w:t>、参展商应详细阅读参展资料，填写《参展合同》，并加盖公章后传真至主委会办公室，亦可通过登录大会网站（</w:t>
      </w:r>
      <w:hyperlink r:id="rId6" w:history="1">
        <w:r>
          <w:rPr>
            <w:rStyle w:val="a7"/>
            <w:rFonts w:ascii="Times New Roman" w:hAnsi="Times New Roman"/>
            <w:sz w:val="32"/>
          </w:rPr>
          <w:t>www.zzwzzl.c</w:t>
        </w:r>
      </w:hyperlink>
      <w:r>
        <w:rPr>
          <w:sz w:val="32"/>
        </w:rPr>
        <w:t>n</w:t>
      </w:r>
      <w:r>
        <w:rPr>
          <w:rFonts w:hint="eastAsia"/>
          <w:sz w:val="32"/>
        </w:rPr>
        <w:t>）</w:t>
      </w:r>
      <w:r>
        <w:rPr>
          <w:rFonts w:hint="eastAsia"/>
          <w:sz w:val="32"/>
        </w:rPr>
        <w:lastRenderedPageBreak/>
        <w:t>和查询有关参展事项进行网上报名。组委会办公室收到《参展合同》后，进行资格审核和确认，并加盖组委会公章，然后寄回参展商。</w:t>
      </w:r>
    </w:p>
    <w:p w14:paraId="390F283F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3</w:t>
      </w:r>
      <w:r>
        <w:rPr>
          <w:rFonts w:hint="eastAsia"/>
          <w:sz w:val="32"/>
        </w:rPr>
        <w:t>、参展商收到确认及及加盖组委会公章的《参展合同》后，应在</w:t>
      </w:r>
      <w:r>
        <w:rPr>
          <w:sz w:val="32"/>
        </w:rPr>
        <w:t>7</w:t>
      </w:r>
      <w:r>
        <w:rPr>
          <w:rFonts w:hint="eastAsia"/>
          <w:sz w:val="32"/>
        </w:rPr>
        <w:t>日内将展位（广告）费汇至组委会，且将银行付款底单传真到组委会办公室，以便确认参展。过期不予保留展（广告）位。</w:t>
      </w:r>
    </w:p>
    <w:p w14:paraId="1587D3DA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4</w:t>
      </w:r>
      <w:r>
        <w:rPr>
          <w:rFonts w:hint="eastAsia"/>
          <w:sz w:val="32"/>
        </w:rPr>
        <w:t>、展位按照“先报名（付款）先安排”的原则进行安排，组委会最后保留少量展位的调动权。</w:t>
      </w:r>
    </w:p>
    <w:p w14:paraId="16D7194E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5</w:t>
      </w:r>
      <w:r>
        <w:rPr>
          <w:rFonts w:hint="eastAsia"/>
          <w:sz w:val="32"/>
        </w:rPr>
        <w:t>、请企业务必遵守大会确定的布展日期。</w:t>
      </w:r>
    </w:p>
    <w:p w14:paraId="54F28746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6</w:t>
      </w:r>
      <w:r>
        <w:rPr>
          <w:rFonts w:hint="eastAsia"/>
          <w:sz w:val="32"/>
        </w:rPr>
        <w:t>、会议期间，参会单位举办信息发布、会场及宾馆广告、租用会议室的，请提前与会务组联系，由会务组统筹安排。</w:t>
      </w:r>
    </w:p>
    <w:p w14:paraId="773C5C45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7</w:t>
      </w:r>
      <w:r>
        <w:rPr>
          <w:rFonts w:hint="eastAsia"/>
          <w:sz w:val="32"/>
        </w:rPr>
        <w:t>、参展企业不得将展位转租或转让他人，亦无权通过任何方式为非参展者宣传，否则大会予以清退。</w:t>
      </w:r>
    </w:p>
    <w:p w14:paraId="61ACCD15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8</w:t>
      </w:r>
      <w:r>
        <w:rPr>
          <w:rFonts w:hint="eastAsia"/>
          <w:sz w:val="32"/>
        </w:rPr>
        <w:t>、会议报到不接站，到郑后请自行乘车前往会议地点。大型车辆入市应自行办理入市通行证。</w:t>
      </w:r>
    </w:p>
    <w:p w14:paraId="3D448EF2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9</w:t>
      </w:r>
      <w:r>
        <w:rPr>
          <w:rFonts w:hint="eastAsia"/>
          <w:sz w:val="32"/>
        </w:rPr>
        <w:t>、其它未尽事宜您可咨询会务组，还可以通过关注微信万泽农资</w:t>
      </w:r>
      <w:r>
        <w:rPr>
          <w:sz w:val="32"/>
        </w:rPr>
        <w:t>(wanze862)</w:t>
      </w:r>
      <w:r>
        <w:rPr>
          <w:rFonts w:hint="eastAsia"/>
          <w:sz w:val="32"/>
        </w:rPr>
        <w:t>、新浪微博</w:t>
      </w:r>
      <w:r>
        <w:rPr>
          <w:sz w:val="32"/>
        </w:rPr>
        <w:t>@</w:t>
      </w:r>
      <w:r>
        <w:rPr>
          <w:rFonts w:hint="eastAsia"/>
          <w:sz w:val="32"/>
        </w:rPr>
        <w:t>万泽农资了解更多详情。</w:t>
      </w:r>
    </w:p>
    <w:p w14:paraId="0A2CBE79" w14:textId="77777777" w:rsidR="00BF0C21" w:rsidRDefault="00BF0C21">
      <w:pPr>
        <w:ind w:firstLineChars="200" w:firstLine="640"/>
        <w:rPr>
          <w:sz w:val="32"/>
        </w:rPr>
      </w:pPr>
      <w:r>
        <w:rPr>
          <w:sz w:val="32"/>
        </w:rPr>
        <w:t>10</w:t>
      </w:r>
      <w:r>
        <w:rPr>
          <w:rFonts w:hint="eastAsia"/>
          <w:sz w:val="32"/>
        </w:rPr>
        <w:t>、为了给参展企业创造更好的宣传环境，组委会将对展台搭建商的资质进行把控。组委会将选取一批有资质、做工精细、负责任、敢于担当的搭建公司为参展企业服务。为了保证大会安全召开，组委会不接收指定搭建商以外的搭建公司进场施工。（指定搭建商企业名单向组委会索取）</w:t>
      </w:r>
    </w:p>
    <w:p w14:paraId="7193D24A" w14:textId="77777777" w:rsidR="00BF0C21" w:rsidRDefault="00BF0C21">
      <w:pPr>
        <w:ind w:firstLineChars="200" w:firstLine="643"/>
        <w:rPr>
          <w:b/>
          <w:sz w:val="32"/>
        </w:rPr>
      </w:pPr>
      <w:r>
        <w:rPr>
          <w:rFonts w:hint="eastAsia"/>
          <w:b/>
          <w:sz w:val="32"/>
        </w:rPr>
        <w:t>八、组委会联系方式</w:t>
      </w:r>
    </w:p>
    <w:p w14:paraId="4EF752C6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◆大会服务电话：李亮杰（</w:t>
      </w:r>
      <w:r>
        <w:rPr>
          <w:sz w:val="32"/>
        </w:rPr>
        <w:t>15238662622</w:t>
      </w:r>
      <w:r>
        <w:rPr>
          <w:rFonts w:hint="eastAsia"/>
          <w:sz w:val="32"/>
        </w:rPr>
        <w:t>同微信）</w:t>
      </w:r>
      <w:r>
        <w:rPr>
          <w:sz w:val="32"/>
        </w:rPr>
        <w:t xml:space="preserve"> </w:t>
      </w:r>
    </w:p>
    <w:p w14:paraId="012F535F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lastRenderedPageBreak/>
        <w:t>◆官方网址：</w:t>
      </w:r>
      <w:hyperlink r:id="rId7" w:history="1">
        <w:r>
          <w:rPr>
            <w:rStyle w:val="a7"/>
            <w:rFonts w:ascii="Times New Roman" w:hAnsi="Times New Roman"/>
            <w:color w:val="000000"/>
            <w:sz w:val="32"/>
          </w:rPr>
          <w:t>www.zzwzzl.c</w:t>
        </w:r>
      </w:hyperlink>
      <w:r>
        <w:rPr>
          <w:color w:val="000000"/>
          <w:sz w:val="32"/>
        </w:rPr>
        <w:t>n</w:t>
      </w:r>
    </w:p>
    <w:p w14:paraId="0F9E0409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◆地址：郑州市郑东新区正商建正东方中心</w:t>
      </w:r>
      <w:r>
        <w:rPr>
          <w:sz w:val="32"/>
        </w:rPr>
        <w:t>A</w:t>
      </w:r>
      <w:r>
        <w:rPr>
          <w:rFonts w:hint="eastAsia"/>
          <w:sz w:val="32"/>
        </w:rPr>
        <w:t>座</w:t>
      </w:r>
    </w:p>
    <w:p w14:paraId="3C0D7A4E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◆邮箱：</w:t>
      </w:r>
      <w:hyperlink r:id="rId8" w:history="1">
        <w:r>
          <w:rPr>
            <w:rStyle w:val="a7"/>
            <w:rFonts w:ascii="Times New Roman" w:hAnsi="Times New Roman"/>
            <w:color w:val="000000"/>
            <w:sz w:val="32"/>
          </w:rPr>
          <w:t>724758356@qq.com</w:t>
        </w:r>
      </w:hyperlink>
    </w:p>
    <w:p w14:paraId="6C19C7AE" w14:textId="77777777" w:rsidR="00BF0C21" w:rsidRDefault="00BF0C21">
      <w:pPr>
        <w:ind w:firstLineChars="200" w:firstLine="640"/>
        <w:rPr>
          <w:sz w:val="32"/>
        </w:rPr>
      </w:pPr>
      <w:r>
        <w:rPr>
          <w:rFonts w:hint="eastAsia"/>
          <w:sz w:val="32"/>
        </w:rPr>
        <w:t>◆微信公众号：</w:t>
      </w:r>
      <w:r>
        <w:rPr>
          <w:sz w:val="32"/>
        </w:rPr>
        <w:t>wanze862</w:t>
      </w:r>
    </w:p>
    <w:sectPr w:rsidR="00BF0C21">
      <w:headerReference w:type="default" r:id="rId9"/>
      <w:footerReference w:type="default" r:id="rId10"/>
      <w:pgSz w:w="11906" w:h="16838"/>
      <w:pgMar w:top="720" w:right="1196" w:bottom="72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7F522" w14:textId="77777777" w:rsidR="00B6558C" w:rsidRDefault="00B6558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96B1542" w14:textId="77777777" w:rsidR="00B6558C" w:rsidRDefault="00B6558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D5908" w14:textId="77777777" w:rsidR="00BF0C21" w:rsidRDefault="00BF0C21">
    <w:pPr>
      <w:pStyle w:val="a4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3EFB7" w14:textId="77777777" w:rsidR="00B6558C" w:rsidRDefault="00B6558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03053B2" w14:textId="77777777" w:rsidR="00B6558C" w:rsidRDefault="00B6558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68192" w14:textId="77777777" w:rsidR="00BF0C21" w:rsidRDefault="00BF0C21">
    <w:pPr>
      <w:pStyle w:val="a5"/>
      <w:pBdr>
        <w:bottom w:val="none" w:sz="0" w:space="0" w:color="auto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HorizontalSpacing w:val="105"/>
  <w:drawingGridVerticalSpacing w:val="156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5B"/>
    <w:rsid w:val="00000000"/>
    <w:rsid w:val="00142A5B"/>
    <w:rsid w:val="002E5720"/>
    <w:rsid w:val="00B6558C"/>
    <w:rsid w:val="00B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7CC13"/>
  <w14:defaultImageDpi w14:val="0"/>
  <w15:docId w15:val="{61E6BD5D-3705-43C7-BB3B-95E1157B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1" w:count="376"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toc 1" w:locked="1" w:semiHidden="1" w:unhideWhenUsed="1" w:qFormat="0"/>
    <w:lsdException w:name="toc 2" w:locked="1" w:semiHidden="1" w:unhideWhenUsed="1" w:qFormat="0"/>
    <w:lsdException w:name="toc 3" w:locked="1" w:semiHidden="1" w:unhideWhenUsed="1" w:qFormat="0"/>
    <w:lsdException w:name="toc 4" w:locked="1" w:semiHidden="1" w:unhideWhenUsed="1" w:qFormat="0"/>
    <w:lsdException w:name="toc 5" w:locked="1" w:semiHidden="1" w:unhideWhenUsed="1" w:qFormat="0"/>
    <w:lsdException w:name="toc 6" w:locked="1" w:semiHidden="1" w:unhideWhenUsed="1" w:qFormat="0"/>
    <w:lsdException w:name="toc 7" w:locked="1" w:semiHidden="1" w:unhideWhenUsed="1" w:qFormat="0"/>
    <w:lsdException w:name="toc 8" w:locked="1" w:semiHidden="1" w:unhideWhenUsed="1" w:qFormat="0"/>
    <w:lsdException w:name="toc 9" w:locked="1" w:semiHidden="1" w:unhideWhenUsed="1" w:qFormat="0"/>
    <w:lsdException w:name="header" w:uiPriority="99" w:unhideWhenUsed="1" w:qFormat="0"/>
    <w:lsdException w:name="footer" w:uiPriority="99" w:unhideWhenUsed="1" w:qFormat="0"/>
    <w:lsdException w:name="caption" w:locked="1" w:semiHidden="1" w:unhideWhenUsed="1"/>
    <w:lsdException w:name="Title" w:locked="1"/>
    <w:lsdException w:name="Default Paragraph Font" w:uiPriority="99" w:unhideWhenUsed="1" w:qFormat="0"/>
    <w:lsdException w:name="Subtitle" w:locked="1"/>
    <w:lsdException w:name="Hyperlink" w:uiPriority="99" w:unhideWhenUsed="1"/>
    <w:lsdException w:name="Strong" w:locked="1"/>
    <w:lsdException w:name="Emphasis" w:locked="1"/>
    <w:lsdException w:name="HTML Top of Form" w:uiPriority="99" w:qFormat="0"/>
    <w:lsdException w:name="HTML Bottom of Form" w:uiPriority="99" w:qFormat="0"/>
    <w:lsdException w:name="No List" w:semiHidden="1" w:uiPriority="99" w:unhideWhenUsed="1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Balloon Text" w:uiPriority="99" w:unhideWhenUsed="1" w:qFormat="0"/>
    <w:lsdException w:name="Table Grid" w:locked="1" w:qFormat="0"/>
    <w:lsdException w:name="Placeholder Text" w:semiHidden="1" w:uiPriority="99" w:unhideWhenUsed="1" w:qFormat="0"/>
    <w:lsdException w:name="No Spacing" w:uiPriority="99"/>
    <w:lsdException w:name="Revision" w:uiPriority="99" w:qFormat="0"/>
    <w:lsdException w:name="List Paragraph" w:uiPriority="99"/>
    <w:lsdException w:name="Quote" w:uiPriority="99"/>
    <w:lsdException w:name="Intense Quote" w:uiPriority="99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qFormat/>
    <w:rPr>
      <w:rFonts w:ascii="宋体" w:hAnsi="宋体"/>
      <w:kern w:val="0"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批注框文本 字符6"/>
    <w:basedOn w:val="a0"/>
    <w:uiPriority w:val="99"/>
    <w:unhideWhenUsed/>
    <w:rPr>
      <w:rFonts w:ascii="宋体" w:cs="Times New Roman"/>
      <w:sz w:val="18"/>
    </w:rPr>
  </w:style>
  <w:style w:type="character" w:customStyle="1" w:styleId="10">
    <w:name w:val="批注框文本 字符10"/>
    <w:basedOn w:val="a0"/>
    <w:uiPriority w:val="99"/>
    <w:unhideWhenUsed/>
    <w:rPr>
      <w:rFonts w:ascii="宋体" w:cs="Times New Roman"/>
      <w:sz w:val="18"/>
    </w:rPr>
  </w:style>
  <w:style w:type="character" w:customStyle="1" w:styleId="a3">
    <w:name w:val="批注框文本 字符"/>
    <w:basedOn w:val="a0"/>
    <w:uiPriority w:val="99"/>
    <w:unhideWhenUsed/>
    <w:rPr>
      <w:rFonts w:ascii="宋体" w:cs="Times New Roman"/>
      <w:sz w:val="18"/>
    </w:rPr>
  </w:style>
  <w:style w:type="character" w:customStyle="1" w:styleId="2">
    <w:name w:val="页脚 字符2"/>
    <w:basedOn w:val="a0"/>
    <w:uiPriority w:val="99"/>
    <w:unhideWhenUsed/>
    <w:rPr>
      <w:rFonts w:ascii="Calibri" w:cs="Times New Roman"/>
      <w:sz w:val="18"/>
    </w:rPr>
  </w:style>
  <w:style w:type="character" w:customStyle="1" w:styleId="3">
    <w:name w:val="页脚 字符3"/>
    <w:basedOn w:val="a0"/>
    <w:uiPriority w:val="99"/>
    <w:unhideWhenUsed/>
    <w:rPr>
      <w:rFonts w:ascii="宋体" w:cs="Times New Roman"/>
      <w:sz w:val="18"/>
    </w:rPr>
  </w:style>
  <w:style w:type="character" w:customStyle="1" w:styleId="1">
    <w:name w:val="页脚 字符1"/>
    <w:basedOn w:val="a0"/>
    <w:link w:val="a4"/>
    <w:uiPriority w:val="99"/>
    <w:unhideWhenUsed/>
    <w:locked/>
    <w:rPr>
      <w:rFonts w:cs="Times New Roman"/>
      <w:sz w:val="18"/>
    </w:rPr>
  </w:style>
  <w:style w:type="character" w:customStyle="1" w:styleId="20">
    <w:name w:val="批注框文本 字符2"/>
    <w:basedOn w:val="a0"/>
    <w:uiPriority w:val="99"/>
    <w:unhideWhenUsed/>
    <w:rPr>
      <w:rFonts w:ascii="宋体" w:hAnsi="Calibri" w:cs="Times New Roman"/>
      <w:sz w:val="18"/>
    </w:rPr>
  </w:style>
  <w:style w:type="character" w:customStyle="1" w:styleId="9">
    <w:name w:val="页眉 字符9"/>
    <w:basedOn w:val="a0"/>
    <w:uiPriority w:val="99"/>
    <w:unhideWhenUsed/>
    <w:rPr>
      <w:rFonts w:ascii="宋体" w:cs="Times New Roman"/>
      <w:sz w:val="18"/>
    </w:rPr>
  </w:style>
  <w:style w:type="character" w:customStyle="1" w:styleId="7">
    <w:name w:val="页脚 字符7"/>
    <w:basedOn w:val="a0"/>
    <w:uiPriority w:val="99"/>
    <w:unhideWhenUsed/>
    <w:rPr>
      <w:rFonts w:ascii="宋体" w:cs="Times New Roman"/>
      <w:sz w:val="18"/>
    </w:rPr>
  </w:style>
  <w:style w:type="character" w:customStyle="1" w:styleId="12">
    <w:name w:val="页脚 字符12"/>
    <w:basedOn w:val="a0"/>
    <w:uiPriority w:val="99"/>
    <w:unhideWhenUsed/>
    <w:rPr>
      <w:rFonts w:ascii="宋体" w:cs="Times New Roman"/>
      <w:sz w:val="18"/>
    </w:rPr>
  </w:style>
  <w:style w:type="character" w:customStyle="1" w:styleId="11">
    <w:name w:val="页眉 字符1"/>
    <w:basedOn w:val="a0"/>
    <w:link w:val="a5"/>
    <w:uiPriority w:val="99"/>
    <w:unhideWhenUsed/>
    <w:locked/>
    <w:rPr>
      <w:rFonts w:cs="Times New Roman"/>
      <w:sz w:val="18"/>
    </w:rPr>
  </w:style>
  <w:style w:type="character" w:customStyle="1" w:styleId="90">
    <w:name w:val="批注框文本 字符9"/>
    <w:basedOn w:val="a0"/>
    <w:uiPriority w:val="99"/>
    <w:unhideWhenUsed/>
    <w:rPr>
      <w:rFonts w:ascii="宋体" w:cs="Times New Roman"/>
      <w:sz w:val="18"/>
    </w:rPr>
  </w:style>
  <w:style w:type="character" w:customStyle="1" w:styleId="60">
    <w:name w:val="页眉 字符6"/>
    <w:basedOn w:val="a0"/>
    <w:uiPriority w:val="99"/>
    <w:unhideWhenUsed/>
    <w:rPr>
      <w:rFonts w:ascii="宋体" w:cs="Times New Roman"/>
      <w:sz w:val="18"/>
    </w:rPr>
  </w:style>
  <w:style w:type="character" w:customStyle="1" w:styleId="4">
    <w:name w:val="页脚 字符4"/>
    <w:basedOn w:val="a0"/>
    <w:uiPriority w:val="99"/>
    <w:unhideWhenUsed/>
    <w:rPr>
      <w:rFonts w:ascii="宋体" w:cs="Times New Roman"/>
      <w:sz w:val="18"/>
    </w:rPr>
  </w:style>
  <w:style w:type="character" w:customStyle="1" w:styleId="a6">
    <w:name w:val="页脚 字符"/>
    <w:basedOn w:val="a0"/>
    <w:uiPriority w:val="99"/>
    <w:unhideWhenUsed/>
    <w:rPr>
      <w:rFonts w:ascii="宋体" w:cs="Times New Roman"/>
      <w:sz w:val="18"/>
    </w:rPr>
  </w:style>
  <w:style w:type="character" w:styleId="a7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customStyle="1" w:styleId="8">
    <w:name w:val="批注框文本 字符8"/>
    <w:basedOn w:val="a0"/>
    <w:uiPriority w:val="99"/>
    <w:unhideWhenUsed/>
    <w:rPr>
      <w:rFonts w:ascii="宋体" w:cs="Times New Roman"/>
      <w:sz w:val="18"/>
    </w:rPr>
  </w:style>
  <w:style w:type="character" w:customStyle="1" w:styleId="30">
    <w:name w:val="页眉 字符3"/>
    <w:basedOn w:val="a0"/>
    <w:uiPriority w:val="99"/>
    <w:unhideWhenUsed/>
    <w:rPr>
      <w:rFonts w:ascii="宋体" w:cs="Times New Roman"/>
      <w:sz w:val="18"/>
    </w:rPr>
  </w:style>
  <w:style w:type="character" w:customStyle="1" w:styleId="70">
    <w:name w:val="页眉 字符7"/>
    <w:basedOn w:val="a0"/>
    <w:uiPriority w:val="99"/>
    <w:unhideWhenUsed/>
    <w:rPr>
      <w:rFonts w:ascii="宋体" w:cs="Times New Roman"/>
      <w:sz w:val="18"/>
    </w:rPr>
  </w:style>
  <w:style w:type="character" w:customStyle="1" w:styleId="5">
    <w:name w:val="页脚 字符5"/>
    <w:basedOn w:val="a0"/>
    <w:uiPriority w:val="99"/>
    <w:unhideWhenUsed/>
    <w:rPr>
      <w:rFonts w:ascii="宋体" w:cs="Times New Roman"/>
      <w:sz w:val="18"/>
    </w:rPr>
  </w:style>
  <w:style w:type="character" w:customStyle="1" w:styleId="61">
    <w:name w:val="页脚 字符6"/>
    <w:basedOn w:val="a0"/>
    <w:uiPriority w:val="99"/>
    <w:unhideWhenUsed/>
    <w:rPr>
      <w:rFonts w:ascii="宋体" w:cs="Times New Roman"/>
      <w:sz w:val="18"/>
    </w:rPr>
  </w:style>
  <w:style w:type="character" w:customStyle="1" w:styleId="71">
    <w:name w:val="批注框文本 字符7"/>
    <w:basedOn w:val="a0"/>
    <w:uiPriority w:val="99"/>
    <w:unhideWhenUsed/>
    <w:rPr>
      <w:rFonts w:ascii="宋体" w:cs="Times New Roman"/>
      <w:sz w:val="18"/>
    </w:rPr>
  </w:style>
  <w:style w:type="character" w:customStyle="1" w:styleId="110">
    <w:name w:val="批注框文本 字符11"/>
    <w:basedOn w:val="a0"/>
    <w:uiPriority w:val="99"/>
    <w:unhideWhenUsed/>
    <w:rPr>
      <w:rFonts w:ascii="宋体" w:cs="Times New Roman"/>
      <w:sz w:val="18"/>
    </w:rPr>
  </w:style>
  <w:style w:type="character" w:customStyle="1" w:styleId="21">
    <w:name w:val="页眉 字符2"/>
    <w:basedOn w:val="a0"/>
    <w:uiPriority w:val="99"/>
    <w:unhideWhenUsed/>
    <w:rPr>
      <w:rFonts w:ascii="Calibri" w:cs="Times New Roman"/>
      <w:sz w:val="18"/>
    </w:rPr>
  </w:style>
  <w:style w:type="character" w:customStyle="1" w:styleId="80">
    <w:name w:val="页眉 字符8"/>
    <w:basedOn w:val="a0"/>
    <w:uiPriority w:val="99"/>
    <w:unhideWhenUsed/>
    <w:rPr>
      <w:rFonts w:ascii="宋体" w:cs="Times New Roman"/>
      <w:sz w:val="18"/>
    </w:rPr>
  </w:style>
  <w:style w:type="character" w:customStyle="1" w:styleId="111">
    <w:name w:val="页眉 字符11"/>
    <w:basedOn w:val="a0"/>
    <w:uiPriority w:val="99"/>
    <w:unhideWhenUsed/>
    <w:rPr>
      <w:rFonts w:ascii="宋体" w:cs="Times New Roman"/>
      <w:sz w:val="18"/>
    </w:rPr>
  </w:style>
  <w:style w:type="character" w:customStyle="1" w:styleId="13">
    <w:name w:val="批注框文本 字符1"/>
    <w:basedOn w:val="a0"/>
    <w:link w:val="a8"/>
    <w:uiPriority w:val="99"/>
    <w:unhideWhenUsed/>
    <w:locked/>
    <w:rPr>
      <w:rFonts w:cs="Times New Roman"/>
      <w:sz w:val="18"/>
    </w:rPr>
  </w:style>
  <w:style w:type="character" w:customStyle="1" w:styleId="31">
    <w:name w:val="批注框文本 字符3"/>
    <w:basedOn w:val="a0"/>
    <w:uiPriority w:val="99"/>
    <w:unhideWhenUsed/>
    <w:rPr>
      <w:rFonts w:ascii="宋体" w:cs="Times New Roman"/>
      <w:sz w:val="18"/>
    </w:rPr>
  </w:style>
  <w:style w:type="character" w:customStyle="1" w:styleId="40">
    <w:name w:val="批注框文本 字符4"/>
    <w:basedOn w:val="a0"/>
    <w:uiPriority w:val="99"/>
    <w:unhideWhenUsed/>
    <w:rPr>
      <w:rFonts w:ascii="宋体" w:cs="Times New Roman"/>
      <w:sz w:val="18"/>
    </w:rPr>
  </w:style>
  <w:style w:type="character" w:customStyle="1" w:styleId="50">
    <w:name w:val="页眉 字符5"/>
    <w:basedOn w:val="a0"/>
    <w:uiPriority w:val="99"/>
    <w:unhideWhenUsed/>
    <w:rPr>
      <w:rFonts w:ascii="宋体" w:cs="Times New Roman"/>
      <w:sz w:val="18"/>
    </w:rPr>
  </w:style>
  <w:style w:type="character" w:customStyle="1" w:styleId="100">
    <w:name w:val="页眉 字符10"/>
    <w:basedOn w:val="a0"/>
    <w:uiPriority w:val="99"/>
    <w:unhideWhenUsed/>
    <w:rPr>
      <w:rFonts w:ascii="宋体" w:cs="Times New Roman"/>
      <w:sz w:val="18"/>
    </w:rPr>
  </w:style>
  <w:style w:type="character" w:customStyle="1" w:styleId="120">
    <w:name w:val="页眉 字符12"/>
    <w:basedOn w:val="a0"/>
    <w:uiPriority w:val="99"/>
    <w:unhideWhenUsed/>
    <w:rPr>
      <w:rFonts w:ascii="宋体" w:cs="Times New Roman"/>
      <w:sz w:val="18"/>
    </w:rPr>
  </w:style>
  <w:style w:type="character" w:customStyle="1" w:styleId="112">
    <w:name w:val="页脚 字符11"/>
    <w:basedOn w:val="a0"/>
    <w:uiPriority w:val="99"/>
    <w:unhideWhenUsed/>
    <w:rPr>
      <w:rFonts w:ascii="宋体" w:cs="Times New Roman"/>
      <w:sz w:val="18"/>
    </w:rPr>
  </w:style>
  <w:style w:type="character" w:customStyle="1" w:styleId="41">
    <w:name w:val="页眉 字符4"/>
    <w:basedOn w:val="a0"/>
    <w:uiPriority w:val="99"/>
    <w:unhideWhenUsed/>
    <w:rPr>
      <w:rFonts w:ascii="宋体" w:cs="Times New Roman"/>
      <w:sz w:val="18"/>
    </w:rPr>
  </w:style>
  <w:style w:type="character" w:customStyle="1" w:styleId="a9">
    <w:name w:val="页眉 字符"/>
    <w:basedOn w:val="a0"/>
    <w:uiPriority w:val="99"/>
    <w:unhideWhenUsed/>
    <w:rPr>
      <w:rFonts w:ascii="宋体" w:cs="Times New Roman"/>
      <w:sz w:val="18"/>
    </w:rPr>
  </w:style>
  <w:style w:type="character" w:customStyle="1" w:styleId="101">
    <w:name w:val="页脚 字符10"/>
    <w:basedOn w:val="a0"/>
    <w:uiPriority w:val="99"/>
    <w:unhideWhenUsed/>
    <w:rPr>
      <w:rFonts w:ascii="宋体" w:cs="Times New Roman"/>
      <w:sz w:val="18"/>
    </w:rPr>
  </w:style>
  <w:style w:type="character" w:customStyle="1" w:styleId="51">
    <w:name w:val="批注框文本 字符5"/>
    <w:basedOn w:val="a0"/>
    <w:uiPriority w:val="99"/>
    <w:unhideWhenUsed/>
    <w:rPr>
      <w:rFonts w:ascii="宋体" w:cs="Times New Roman"/>
      <w:sz w:val="18"/>
    </w:rPr>
  </w:style>
  <w:style w:type="character" w:customStyle="1" w:styleId="121">
    <w:name w:val="批注框文本 字符12"/>
    <w:basedOn w:val="a0"/>
    <w:uiPriority w:val="99"/>
    <w:unhideWhenUsed/>
    <w:rPr>
      <w:rFonts w:ascii="宋体" w:cs="Times New Roman"/>
      <w:sz w:val="18"/>
    </w:rPr>
  </w:style>
  <w:style w:type="character" w:customStyle="1" w:styleId="81">
    <w:name w:val="页脚 字符8"/>
    <w:basedOn w:val="a0"/>
    <w:uiPriority w:val="99"/>
    <w:unhideWhenUsed/>
    <w:rPr>
      <w:rFonts w:ascii="宋体" w:cs="Times New Roman"/>
      <w:sz w:val="18"/>
    </w:rPr>
  </w:style>
  <w:style w:type="character" w:customStyle="1" w:styleId="91">
    <w:name w:val="页脚 字符9"/>
    <w:basedOn w:val="a0"/>
    <w:uiPriority w:val="99"/>
    <w:unhideWhenUsed/>
    <w:rPr>
      <w:rFonts w:ascii="宋体" w:cs="Times New Roman"/>
      <w:sz w:val="18"/>
    </w:rPr>
  </w:style>
  <w:style w:type="paragraph" w:styleId="a5">
    <w:name w:val="header"/>
    <w:basedOn w:val="a"/>
    <w:link w:val="1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</w:rPr>
  </w:style>
  <w:style w:type="character" w:customStyle="1" w:styleId="130">
    <w:name w:val="页眉 字符13"/>
    <w:basedOn w:val="a0"/>
    <w:uiPriority w:val="99"/>
    <w:semiHidden/>
    <w:rPr>
      <w:rFonts w:ascii="宋体" w:hAnsi="宋体"/>
      <w:kern w:val="0"/>
      <w:sz w:val="18"/>
      <w:szCs w:val="18"/>
    </w:rPr>
  </w:style>
  <w:style w:type="character" w:customStyle="1" w:styleId="131">
    <w:name w:val="页眉 字符131"/>
    <w:basedOn w:val="a0"/>
    <w:uiPriority w:val="99"/>
    <w:semiHidden/>
    <w:rPr>
      <w:rFonts w:ascii="宋体" w:eastAsia="宋体" w:cs="Times New Roman"/>
      <w:kern w:val="0"/>
      <w:sz w:val="18"/>
      <w:szCs w:val="18"/>
    </w:rPr>
  </w:style>
  <w:style w:type="paragraph" w:styleId="a4">
    <w:name w:val="footer"/>
    <w:basedOn w:val="a"/>
    <w:link w:val="1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</w:rPr>
  </w:style>
  <w:style w:type="character" w:customStyle="1" w:styleId="132">
    <w:name w:val="页脚 字符13"/>
    <w:basedOn w:val="a0"/>
    <w:uiPriority w:val="99"/>
    <w:semiHidden/>
    <w:rPr>
      <w:rFonts w:ascii="宋体" w:hAnsi="宋体"/>
      <w:kern w:val="0"/>
      <w:sz w:val="18"/>
      <w:szCs w:val="18"/>
    </w:rPr>
  </w:style>
  <w:style w:type="character" w:customStyle="1" w:styleId="1310">
    <w:name w:val="页脚 字符131"/>
    <w:basedOn w:val="a0"/>
    <w:uiPriority w:val="99"/>
    <w:semiHidden/>
    <w:rPr>
      <w:rFonts w:ascii="宋体" w:eastAsia="宋体" w:cs="Times New Roman"/>
      <w:kern w:val="0"/>
      <w:sz w:val="18"/>
      <w:szCs w:val="18"/>
    </w:rPr>
  </w:style>
  <w:style w:type="paragraph" w:styleId="a8">
    <w:name w:val="Balloon Text"/>
    <w:basedOn w:val="a"/>
    <w:link w:val="13"/>
    <w:uiPriority w:val="99"/>
    <w:unhideWhenUsed/>
    <w:pPr>
      <w:widowControl w:val="0"/>
      <w:jc w:val="both"/>
    </w:pPr>
    <w:rPr>
      <w:rFonts w:ascii="Calibri" w:hAnsi="Calibri"/>
      <w:kern w:val="2"/>
      <w:sz w:val="18"/>
    </w:rPr>
  </w:style>
  <w:style w:type="character" w:customStyle="1" w:styleId="133">
    <w:name w:val="批注框文本 字符13"/>
    <w:basedOn w:val="a0"/>
    <w:uiPriority w:val="99"/>
    <w:semiHidden/>
    <w:rPr>
      <w:rFonts w:ascii="宋体" w:hAnsi="宋体"/>
      <w:kern w:val="0"/>
      <w:sz w:val="18"/>
      <w:szCs w:val="18"/>
    </w:rPr>
  </w:style>
  <w:style w:type="character" w:customStyle="1" w:styleId="1311">
    <w:name w:val="批注框文本 字符131"/>
    <w:basedOn w:val="a0"/>
    <w:uiPriority w:val="99"/>
    <w:semiHidden/>
    <w:rPr>
      <w:rFonts w:ascii="宋体" w:eastAsia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34290084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nzbh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zbh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72475</dc:creator>
  <cp:keywords/>
  <dc:description/>
  <cp:lastModifiedBy>sousounong</cp:lastModifiedBy>
  <cp:revision>3</cp:revision>
  <dcterms:created xsi:type="dcterms:W3CDTF">2020-12-14T05:18:00Z</dcterms:created>
  <dcterms:modified xsi:type="dcterms:W3CDTF">2020-12-14T05:19:00Z</dcterms:modified>
</cp:coreProperties>
</file>