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271145</wp:posOffset>
            </wp:positionV>
            <wp:extent cx="5269230" cy="1548765"/>
            <wp:effectExtent l="0" t="0" r="7620" b="13335"/>
            <wp:wrapNone/>
            <wp:docPr id="3" name="图片 3" descr="内蒙古国际农业博览会组委会-电子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内蒙古国际农业博览会组委会-电子红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关于邀请参加202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年第三十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届内蒙古国际农业博览会暨肥料、种子、农药专项展示订货会的函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展览时间：20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年8月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2日-4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赤峰国际会展中心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各农牧业生产资料企事业单位、各经销代理、合作社：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全面贯彻落实国务院《关于推动内蒙古高质量发展奋力书写中国式现代化新篇章的意见》文件精神，推动农牧业基础设施建设、大力发展生态农牧业、强化水资源保障能力、深化农村牧区改革，为内蒙古加快推进农牧业现代化，提升国家重要农畜产品生产基地综合生产能力强基固本、蓄势赋能，</w:t>
      </w:r>
      <w:r>
        <w:rPr>
          <w:rFonts w:hint="eastAsia" w:ascii="仿宋" w:hAnsi="仿宋" w:eastAsia="仿宋" w:cs="仿宋"/>
          <w:sz w:val="32"/>
          <w:szCs w:val="32"/>
        </w:rPr>
        <w:t>由内蒙古自治区经济发展与研究促进会主办，内蒙古东昭展览策划有限责任公司、东昭展览（北京）有限公司承办的202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三十五</w:t>
      </w:r>
      <w:r>
        <w:rPr>
          <w:rFonts w:hint="eastAsia" w:ascii="仿宋" w:hAnsi="仿宋" w:eastAsia="仿宋" w:cs="仿宋"/>
          <w:sz w:val="32"/>
          <w:szCs w:val="32"/>
        </w:rPr>
        <w:t>届内蒙古国际农业博览会暨肥料、种子、农药专项展示订货会将于20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2日-4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赤峰国际会展中心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内蒙古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仿宋"/>
          <w:sz w:val="32"/>
          <w:szCs w:val="32"/>
        </w:rPr>
        <w:t>农业博览会（以下简称“内蒙古农博会”）作为内蒙古农业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盛会，在自治区党委、政府和各级领导的关心与支持下已成功举办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三十四</w:t>
      </w:r>
      <w:r>
        <w:rPr>
          <w:rFonts w:hint="eastAsia" w:ascii="仿宋" w:hAnsi="仿宋" w:eastAsia="仿宋" w:cs="仿宋"/>
          <w:sz w:val="32"/>
          <w:szCs w:val="32"/>
        </w:rPr>
        <w:t>届，第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三十五</w:t>
      </w:r>
      <w:r>
        <w:rPr>
          <w:rFonts w:hint="eastAsia" w:ascii="仿宋" w:hAnsi="仿宋" w:eastAsia="仿宋" w:cs="仿宋"/>
          <w:sz w:val="32"/>
          <w:szCs w:val="32"/>
        </w:rPr>
        <w:t>届内蒙古农博会暨肥料、种子、农药专项展示订货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会继续</w:t>
      </w:r>
      <w:r>
        <w:rPr>
          <w:rFonts w:hint="eastAsia" w:ascii="仿宋" w:hAnsi="仿宋" w:eastAsia="仿宋" w:cs="仿宋"/>
          <w:sz w:val="32"/>
          <w:szCs w:val="32"/>
        </w:rPr>
        <w:t>为全面推进乡村振兴建设，加快推动传统农业向现代农业转变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为目标，</w:t>
      </w:r>
      <w:r>
        <w:rPr>
          <w:rFonts w:hint="eastAsia" w:ascii="仿宋" w:hAnsi="仿宋" w:eastAsia="仿宋" w:cs="仿宋"/>
          <w:sz w:val="32"/>
          <w:szCs w:val="32"/>
        </w:rPr>
        <w:t>大力发展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绿色生态</w:t>
      </w:r>
      <w:r>
        <w:rPr>
          <w:rFonts w:hint="eastAsia" w:ascii="仿宋" w:hAnsi="仿宋" w:eastAsia="仿宋" w:cs="仿宋"/>
          <w:sz w:val="32"/>
          <w:szCs w:val="32"/>
        </w:rPr>
        <w:t>农业，谱写农业农村高质量发展新篇章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参展企事业单位和购买商提供优质、全方位的服务，搭建农资行业的智能化展示平台，建立农资产品流通便捷通道，助力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农牧</w:t>
      </w:r>
      <w:r>
        <w:rPr>
          <w:rFonts w:hint="eastAsia" w:ascii="仿宋" w:hAnsi="仿宋" w:eastAsia="仿宋" w:cs="仿宋"/>
          <w:sz w:val="32"/>
          <w:szCs w:val="32"/>
        </w:rPr>
        <w:t>企业健康快速发展。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品牌齐聚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、规模和成交量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创历史新高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上届展会有来自国内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个省市自治区的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00余家企业参展，三天的展会共接待了来自全国各地的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6万</w:t>
      </w:r>
      <w:r>
        <w:rPr>
          <w:rFonts w:hint="eastAsia" w:ascii="仿宋" w:hAnsi="仿宋" w:eastAsia="仿宋" w:cs="仿宋"/>
          <w:sz w:val="32"/>
          <w:szCs w:val="32"/>
        </w:rPr>
        <w:t>余观众到场参观，现场签约项目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869</w:t>
      </w:r>
      <w:r>
        <w:rPr>
          <w:rFonts w:hint="eastAsia" w:ascii="仿宋" w:hAnsi="仿宋" w:eastAsia="仿宋" w:cs="仿宋"/>
          <w:sz w:val="32"/>
          <w:szCs w:val="32"/>
        </w:rPr>
        <w:t>项，意向合同金额突破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19.6</w:t>
      </w:r>
      <w:r>
        <w:rPr>
          <w:rFonts w:hint="eastAsia" w:ascii="仿宋" w:hAnsi="仿宋" w:eastAsia="仿宋" w:cs="仿宋"/>
          <w:sz w:val="32"/>
          <w:szCs w:val="32"/>
        </w:rPr>
        <w:t>亿元，实际成交额突破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5.88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市场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巨大，潜力无限，欢迎各界齐聚内蒙古！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自治区土地资源丰富，总面积118.3万平方公里，现有耕地1.37亿亩，人均占有的耕地7.15亩，全区有效灌溉面积4517.85万亩。内蒙古也是我国十三个粮食主产区之一，每年为国家提供商品粮超过200亿斤，是全国净调出粮食的五个省区之一，农民人均储粮和人均占有粮食分别排在全国第二和第三位。最广袤的农业种植市场，最活跃的农资流通平台，欢迎四海宾朋共商合作，共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日程安排：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布展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2024年7月31日-8月1日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展览时间：20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2日-4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开幕时间：20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09：00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撤展时间：20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展会地点：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赤峰国际会展中心（赤峰市新城区玉龙大街市政府斜对面）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参展范围：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1、各类肥料、肥料原料、生物制品、农药、农药原料、植物生长调节剂、植保器械、种子、种苗、农药及肥料生产包装设备等相关产品。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2、各类农业设施、温室材料、干燥盘等、育苗容器、先进设施农业的技术和产品等。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媒体支持：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火爆农资招商网、火爆农化招商网、三农网、中国种子信息网、中国化肥网、中国农药网、金农网、好农资招商网、中国农产品网、中国农业信息网、中国农业会展网、农博网、新农资360、E展网、卓创资讯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农资搜索平台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展位及相关广告收费：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标准展位：</w:t>
      </w:r>
      <w:r>
        <w:rPr>
          <w:rFonts w:hint="eastAsia" w:ascii="仿宋" w:hAnsi="仿宋" w:eastAsia="仿宋" w:cs="仿宋"/>
          <w:sz w:val="32"/>
          <w:szCs w:val="32"/>
        </w:rPr>
        <w:t>3m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3m  RMB6000元，角展 RMB6800元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3m  RMB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00元（费用包括：会刊制作费、场地费、三面围板、门楣及两只射灯、一个电源插座（220V/15A）、一桌两椅、清洁费、保安费、代表证等。）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标展加高另收1000元/个（9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㎡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微特展位：</w:t>
      </w:r>
      <w:r>
        <w:rPr>
          <w:rFonts w:hint="eastAsia" w:ascii="仿宋" w:hAnsi="仿宋" w:eastAsia="仿宋" w:cs="仿宋"/>
          <w:sz w:val="32"/>
          <w:szCs w:val="32"/>
        </w:rPr>
        <w:t>RMB15000元/18㎡微型特装（配置：18㎡的方铝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或绗架</w:t>
      </w:r>
      <w:r>
        <w:rPr>
          <w:rFonts w:hint="eastAsia" w:ascii="仿宋" w:hAnsi="仿宋" w:eastAsia="仿宋" w:cs="仿宋"/>
          <w:sz w:val="32"/>
          <w:szCs w:val="32"/>
        </w:rPr>
        <w:t>结构、喷绘画面、玻璃洽谈桌、接待台、地毯等。）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净空地：</w:t>
      </w:r>
      <w:r>
        <w:rPr>
          <w:rFonts w:hint="eastAsia" w:ascii="仿宋" w:hAnsi="仿宋" w:eastAsia="仿宋" w:cs="仿宋"/>
          <w:sz w:val="32"/>
          <w:szCs w:val="32"/>
        </w:rPr>
        <w:t>1、室内空地（36㎡起租），RMB780元/㎡。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2、室外空地（36㎡起租），RMB280元/㎡。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会刊广告：（会刊规格：宽140mm*高210mm）</w:t>
      </w:r>
    </w:p>
    <w:tbl>
      <w:tblPr>
        <w:tblStyle w:val="6"/>
        <w:tblpPr w:leftFromText="180" w:rightFromText="180" w:vertAnchor="text" w:horzAnchor="page" w:tblpX="1878" w:tblpY="79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80"/>
        <w:gridCol w:w="1410"/>
        <w:gridCol w:w="1350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发布价格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发布价格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项目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发布价格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封   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15000元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扉页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5000元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黑白内页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封   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10000元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彩色跨版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6000元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企业资料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封二/三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5500元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彩色内页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2800元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封面拉页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18000元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内文页眉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4800元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内文页脚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4800元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封底拉页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12000元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其它广告：</w:t>
      </w:r>
    </w:p>
    <w:tbl>
      <w:tblPr>
        <w:tblStyle w:val="6"/>
        <w:tblpPr w:leftFromText="180" w:rightFromText="180" w:vertAnchor="text" w:horzAnchor="page" w:tblpX="1908" w:tblpY="276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176"/>
        <w:gridCol w:w="1934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项目</w:t>
            </w:r>
          </w:p>
        </w:tc>
        <w:tc>
          <w:tcPr>
            <w:tcW w:w="2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规格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广告形式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发布价格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参观证背面广告</w:t>
            </w:r>
          </w:p>
        </w:tc>
        <w:tc>
          <w:tcPr>
            <w:tcW w:w="2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标准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单面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广告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8000元/万个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参观证挂绳广告</w:t>
            </w:r>
          </w:p>
        </w:tc>
        <w:tc>
          <w:tcPr>
            <w:tcW w:w="2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标准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文字广告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8000元/万个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手 提 袋</w:t>
            </w:r>
          </w:p>
        </w:tc>
        <w:tc>
          <w:tcPr>
            <w:tcW w:w="2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65" w:lef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标准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95" w:lef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单面广告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6000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元/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千</w:t>
            </w: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户外广告牌</w:t>
            </w:r>
          </w:p>
        </w:tc>
        <w:tc>
          <w:tcPr>
            <w:tcW w:w="21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65" w:leftChars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高4m*宽6m</w:t>
            </w:r>
          </w:p>
        </w:tc>
        <w:tc>
          <w:tcPr>
            <w:tcW w:w="19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95" w:leftChars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单面广告</w:t>
            </w:r>
          </w:p>
        </w:tc>
        <w:tc>
          <w:tcPr>
            <w:tcW w:w="1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5000元/个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市场推广与观众邀约计划：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从</w:t>
      </w:r>
      <w:r>
        <w:rPr>
          <w:rFonts w:hint="eastAsia" w:ascii="仿宋" w:hAnsi="仿宋" w:eastAsia="仿宋" w:cs="仿宋"/>
          <w:bCs/>
          <w:color w:val="141414"/>
          <w:spacing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Cs/>
          <w:color w:val="14141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141414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14141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141414"/>
          <w:spacing w:val="0"/>
          <w:sz w:val="32"/>
          <w:szCs w:val="32"/>
        </w:rPr>
        <w:t>月初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开始，组委会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10辆宣传车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利用近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个多月的时间对内蒙古农博会进行下乡宣传，以条幅、海报、即时贴、大幅喷绘画面等为载体，</w:t>
      </w:r>
      <w:r>
        <w:rPr>
          <w:rFonts w:hint="eastAsia" w:ascii="仿宋" w:hAnsi="仿宋" w:eastAsia="仿宋" w:cs="仿宋"/>
          <w:b w:val="0"/>
          <w:i w:val="0"/>
          <w:iCs w:val="0"/>
          <w:color w:val="000000"/>
          <w:w w:val="100"/>
          <w:sz w:val="32"/>
          <w:szCs w:val="32"/>
          <w:lang w:eastAsia="zh-CN"/>
        </w:rPr>
        <w:t>重点走访赤峰、通辽、兴安盟、呼伦贝尔、锡林郭勒、河北、辽宁、吉林、黑龙江等地</w:t>
      </w:r>
      <w:r>
        <w:rPr>
          <w:rFonts w:hint="eastAsia" w:ascii="仿宋" w:hAnsi="仿宋" w:eastAsia="仿宋" w:cs="仿宋"/>
          <w:b w:val="0"/>
          <w:i w:val="0"/>
          <w:iCs w:val="0"/>
          <w:color w:val="000000"/>
          <w:w w:val="1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iCs w:val="0"/>
          <w:w w:val="100"/>
          <w:sz w:val="32"/>
          <w:szCs w:val="32"/>
          <w:lang w:eastAsia="zh-CN"/>
        </w:rPr>
        <w:t>经销商、合作社、种植养殖大户等专业买家，将展会的第一手信息送到专业观众手中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办公室同时以电话、传真、邮件、微信、短信等通讯工具进行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宣传和邀请。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2、多渠道推广：定期向我们所掌握数据库内的专业观众及时以短信、电邮发送等方式向专业观众告之本届展会招商进程。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3、媒体强势推广：在展会展前、中、后进行展会快讯和展商报道。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4、招商专员利用主办/协办等相关单位积累的专业买家数据库进行电话、传真邀请。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5、以请柬形式重点邀请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农资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经销商、代理商、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肥料、种子、农药等流通企业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；内蒙古自治区12盟市、102个旗县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主管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农资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的政府部门；大型农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牧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业企业、种植大户、专业合作社、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农资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、农技推广中心、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行业协会、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生态观光农业园等大型项目企业负责人。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参展程序：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1、资料备索：展位图、参展申请表、赞助条例、入会通知、考察旅游指南等。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2、参展单位请详细填写《参展申请表》并加盖公章，传真或寄送至组委会。并于三日内将参展费用汇入组委会指定账户。展位安排原则：“先申请、先预定、先付款、先确定”。赞助单位可优先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内蒙古农博会组委会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秘书处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pacing w:val="0"/>
          <w:sz w:val="30"/>
          <w:szCs w:val="30"/>
        </w:rPr>
      </w:pP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办公</w:t>
      </w:r>
      <w:r>
        <w:rPr>
          <w:rFonts w:hint="eastAsia" w:ascii="仿宋" w:hAnsi="仿宋" w:eastAsia="仿宋" w:cs="仿宋"/>
          <w:spacing w:val="0"/>
          <w:sz w:val="30"/>
          <w:szCs w:val="30"/>
        </w:rPr>
        <w:t>地址：呼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和浩特市乌兰察布东街伟业</w:t>
      </w:r>
      <w:r>
        <w:rPr>
          <w:rFonts w:hint="eastAsia" w:ascii="仿宋" w:hAnsi="仿宋" w:eastAsia="仿宋" w:cs="仿宋"/>
          <w:spacing w:val="0"/>
          <w:sz w:val="30"/>
          <w:szCs w:val="30"/>
        </w:rPr>
        <w:t>大厦10层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w w:val="100"/>
          <w:sz w:val="30"/>
          <w:szCs w:val="30"/>
        </w:rPr>
        <w:t>展览地址：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赤</w:t>
      </w:r>
      <w:r>
        <w:rPr>
          <w:rFonts w:hint="eastAsia" w:ascii="仿宋" w:hAnsi="仿宋" w:eastAsia="仿宋" w:cs="仿宋"/>
          <w:b w:val="0"/>
          <w:bCs w:val="0"/>
          <w:spacing w:val="-17"/>
          <w:sz w:val="30"/>
          <w:szCs w:val="30"/>
          <w:lang w:eastAsia="zh-CN"/>
        </w:rPr>
        <w:t>峰国际会展中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56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（赤峰市新城区玉龙大街市政府斜对面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pacing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联系电话：0471-5291765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textAlignment w:val="auto"/>
        <w:outlineLvl w:val="9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邮    箱：nmgnbh@163.com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YTc2MmNiYzU3MGU4ODExYjNiMjcxOTJkZjJlZGQifQ=="/>
  </w:docVars>
  <w:rsids>
    <w:rsidRoot w:val="0D0E1F95"/>
    <w:rsid w:val="01CF30D9"/>
    <w:rsid w:val="07206968"/>
    <w:rsid w:val="09190ED7"/>
    <w:rsid w:val="09945539"/>
    <w:rsid w:val="0D0E1F95"/>
    <w:rsid w:val="0EC252C3"/>
    <w:rsid w:val="108F6A5A"/>
    <w:rsid w:val="14916A36"/>
    <w:rsid w:val="15610299"/>
    <w:rsid w:val="167C538B"/>
    <w:rsid w:val="16932A4C"/>
    <w:rsid w:val="1725580F"/>
    <w:rsid w:val="178564C1"/>
    <w:rsid w:val="185B4F34"/>
    <w:rsid w:val="18ED07C2"/>
    <w:rsid w:val="198B354C"/>
    <w:rsid w:val="1AFC2ED4"/>
    <w:rsid w:val="1CCE4466"/>
    <w:rsid w:val="1DCA534D"/>
    <w:rsid w:val="1ECA66FA"/>
    <w:rsid w:val="1EFC6742"/>
    <w:rsid w:val="23370183"/>
    <w:rsid w:val="279836E2"/>
    <w:rsid w:val="2865275B"/>
    <w:rsid w:val="29172DCC"/>
    <w:rsid w:val="29D62BAC"/>
    <w:rsid w:val="2CAF5331"/>
    <w:rsid w:val="2FC55B9D"/>
    <w:rsid w:val="305B02AF"/>
    <w:rsid w:val="31F57484"/>
    <w:rsid w:val="32621481"/>
    <w:rsid w:val="34AA0852"/>
    <w:rsid w:val="34EF53BE"/>
    <w:rsid w:val="36AC4FA4"/>
    <w:rsid w:val="391F0013"/>
    <w:rsid w:val="39552468"/>
    <w:rsid w:val="3CEE5823"/>
    <w:rsid w:val="3E854E75"/>
    <w:rsid w:val="3F5134EB"/>
    <w:rsid w:val="411B4518"/>
    <w:rsid w:val="43A3196D"/>
    <w:rsid w:val="445E0D09"/>
    <w:rsid w:val="463B51A6"/>
    <w:rsid w:val="48397178"/>
    <w:rsid w:val="4B785EE4"/>
    <w:rsid w:val="4DD06B66"/>
    <w:rsid w:val="4ECA68FC"/>
    <w:rsid w:val="4F7143B5"/>
    <w:rsid w:val="51BE68A7"/>
    <w:rsid w:val="54717115"/>
    <w:rsid w:val="56340F74"/>
    <w:rsid w:val="57D20A44"/>
    <w:rsid w:val="5ABE16D3"/>
    <w:rsid w:val="5E1A708A"/>
    <w:rsid w:val="6166248C"/>
    <w:rsid w:val="61E450E3"/>
    <w:rsid w:val="62502AD9"/>
    <w:rsid w:val="646750E4"/>
    <w:rsid w:val="650A75D2"/>
    <w:rsid w:val="67F24A7A"/>
    <w:rsid w:val="684352D5"/>
    <w:rsid w:val="6B572100"/>
    <w:rsid w:val="6BD93A81"/>
    <w:rsid w:val="6DE72541"/>
    <w:rsid w:val="6F4C2966"/>
    <w:rsid w:val="749141AF"/>
    <w:rsid w:val="757C69CF"/>
    <w:rsid w:val="764940EA"/>
    <w:rsid w:val="7A9C2E00"/>
    <w:rsid w:val="7BC2255D"/>
    <w:rsid w:val="7E9C486D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2351</Characters>
  <Lines>0</Lines>
  <Paragraphs>0</Paragraphs>
  <TotalTime>7</TotalTime>
  <ScaleCrop>false</ScaleCrop>
  <LinksUpToDate>false</LinksUpToDate>
  <CharactersWithSpaces>2373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2022-09-07T06:34:00Z</dcterms:created>
  <dc:creator>zhaoy</dc:creator>
  <cp:lastModifiedBy>李硕</cp:lastModifiedBy>
  <dcterms:modified xsi:type="dcterms:W3CDTF">2024-05-14T02:56:12Z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B765A3BFFF444F3293631E88369B2F5A_13</vt:lpwstr>
  </property>
</Properties>
</file>