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5850"/>
        </w:tabs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第十八届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辽宁植保（农资）双交会</w:t>
      </w:r>
    </w:p>
    <w:p>
      <w:pPr>
        <w:rPr>
          <w:rFonts w:hint="default" w:eastAsia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暨第二届东北国际特种肥料大会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/>
          <w:iCs/>
          <w:color w:val="808080"/>
          <w:sz w:val="72"/>
          <w:szCs w:val="7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时间：202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年9月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29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日      地点：沈阳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国际展览中心</w:t>
      </w:r>
    </w:p>
    <w:p>
      <w:pPr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i/>
          <w:iCs/>
          <w:color w:val="808080"/>
          <w:sz w:val="44"/>
          <w:szCs w:val="4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同期举办：</w:t>
      </w:r>
    </w:p>
    <w:p>
      <w:pPr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第二届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东北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国际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特种肥料大会    第二届东北花生种植业峰会</w:t>
      </w:r>
    </w:p>
    <w:p>
      <w:pPr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第二十届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 xml:space="preserve">辽宁省农药高层论坛     </w:t>
      </w:r>
    </w:p>
    <w:p>
      <w:pPr>
        <w:jc w:val="center"/>
        <w:rPr>
          <w:rFonts w:ascii="方正黑体_GBK" w:hAnsi="方正黑体_GBK" w:eastAsia="方正黑体_GBK" w:cs="方正黑体_GBK"/>
          <w:b/>
          <w:sz w:val="30"/>
          <w:szCs w:val="30"/>
        </w:rPr>
      </w:pPr>
      <w:r>
        <w:rPr>
          <w:rFonts w:hint="eastAsia" w:ascii="华文楷体" w:hAnsi="华文楷体" w:eastAsia="华文楷体" w:cs="华文楷体"/>
          <w:b/>
          <w:sz w:val="36"/>
          <w:szCs w:val="36"/>
        </w:rPr>
        <w:t>诚征会期各大论坛（峰会）合作赞助商！</w:t>
      </w:r>
    </w:p>
    <w:p>
      <w:pPr>
        <w:rPr>
          <w:rFonts w:ascii="方正黑体_GBK" w:hAnsi="方正黑体_GBK" w:eastAsia="方正黑体_GBK" w:cs="方正黑体_GBK"/>
          <w:b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【组织单位】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主办单位：辽宁省农药发展与应用协会    辽宁省农药工业协会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承办单位：辽宁阳光国际会展有限公司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支持单位：黑龙江农药与肥料产业技术创新战略联盟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吉林省化肥农药工业协会 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赞助单位：新疆汇通旱地龙腐植酸有限责任公司</w:t>
      </w:r>
      <w:r>
        <w:rPr>
          <w:rFonts w:hint="eastAsia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南洋鸿基生物科技有限公司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辽宁津大盛源集团</w:t>
      </w:r>
    </w:p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【大会概况】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辽宁植保（农资）双交会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是由</w:t>
      </w:r>
      <w:r>
        <w:rPr>
          <w:rFonts w:hint="eastAsia"/>
          <w:sz w:val="28"/>
          <w:szCs w:val="28"/>
        </w:rPr>
        <w:t>辽宁省农药工业协会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辽宁省农药应用</w:t>
      </w:r>
      <w:r>
        <w:rPr>
          <w:rFonts w:hint="eastAsia"/>
          <w:sz w:val="28"/>
          <w:szCs w:val="28"/>
          <w:lang w:eastAsia="zh-CN"/>
        </w:rPr>
        <w:t>与发展</w:t>
      </w:r>
      <w:r>
        <w:rPr>
          <w:rFonts w:hint="eastAsia"/>
          <w:sz w:val="28"/>
          <w:szCs w:val="28"/>
        </w:rPr>
        <w:t>协会</w:t>
      </w:r>
      <w:r>
        <w:rPr>
          <w:rFonts w:hint="eastAsia"/>
          <w:sz w:val="28"/>
          <w:szCs w:val="28"/>
          <w:lang w:eastAsia="zh-CN"/>
        </w:rPr>
        <w:t>主办；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辽宁阳光国际会展有限公司整体策划运作的国内知名农资行业大会，前身为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辽宁植保会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“东北农资双交会”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2020“双交会”9月18日在沈阳新世界博览馆举办，在“新冠疫情”等不利因素影响下，仍然有四百余家企业参与大会，现场交易火爆，是2020年10月份以前国内业界评价最高得农资行业展会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之一。</w:t>
      </w:r>
    </w:p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【上届回顾】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（观众篇）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“双交会”参观专业观众超过了2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000人，共有来自河北、内蒙、吉林、辽宁农业重点地区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42</w:t>
      </w:r>
      <w:r>
        <w:rPr>
          <w:rFonts w:hint="eastAsia" w:ascii="宋体" w:hAnsi="宋体" w:cs="宋体"/>
          <w:sz w:val="28"/>
          <w:szCs w:val="28"/>
        </w:rPr>
        <w:t>个农资经销商组团洽谈，组委会提供组团大巴4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辆，免费接待2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00名专业经销商食宿。展会现场交易火爆，受到了参展企业的一致好评。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【上届回顾】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（活动篇）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2020“双交会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召开期间特别举办了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“东北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首届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国际特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种肥料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大会”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邀请微肥之父——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吴礼树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、“蔡头农业说”蔡智文老师、生物肥料专家农学博士燕国胜老师等多位国内顶级专家现场报告；现场500多位农资行业精英参加了大会学习，诸位专家从产品技术、市场营销等多角度深度剖析东北特肥市场现状与发展趋势！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【上届回顾】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（企业篇）</w:t>
      </w:r>
    </w:p>
    <w:p>
      <w:pPr>
        <w:ind w:firstLine="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口品牌有科迪华、先正达、杜邦、拜耳、富美实、雅苒，康普，以色列化工、海法、夫沃施、卡塞夫、金可诺、拉姆拉，英国阿托菲纳、英露沃普丰，比利时施耐力，SQM智利化学，意大利瓦拉格罗，巴西雷诺等。</w:t>
      </w:r>
    </w:p>
    <w:p>
      <w:pPr>
        <w:ind w:firstLine="600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国内企业有先达农化、沈阳化院、八达农药、九信作物、红太阳、金秋农药、松辽化工、辽宁农药公司、津大集团、爱尔法农业等。</w:t>
      </w:r>
    </w:p>
    <w:p>
      <w:pPr>
        <w:spacing w:line="480" w:lineRule="exact"/>
        <w:ind w:left="450" w:hanging="450" w:hangingChars="150"/>
        <w:rPr>
          <w:rFonts w:ascii="方正黑体_GBK" w:hAnsi="方正黑体_GBK" w:eastAsia="方正黑体_GBK" w:cs="方正黑体_GBK"/>
          <w:b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【参展范围】</w:t>
      </w:r>
    </w:p>
    <w:p>
      <w:pPr>
        <w:ind w:left="422" w:hanging="422" w:hangingChars="150"/>
        <w:rPr>
          <w:rStyle w:val="8"/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植保类：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除草剂、杀虫剂、杀菌剂、杀螨剂、杀鼠剂、特异剂和植物调节剂、药肥以及农药原药、农药合成剂、农药中间体、农药包装、生产设备及材料；植保药械、杀虫设备、喷雾器、农用航空设备、植保无人机及配套技术设备。</w:t>
      </w:r>
    </w:p>
    <w:p>
      <w:pPr>
        <w:ind w:left="422" w:hanging="422" w:hangingChars="150"/>
        <w:rPr>
          <w:rStyle w:val="8"/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肥料类：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</w:rPr>
        <w:t>氮肥、磷肥、钾肥、复合肥、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复混肥、螯合肥、缓控释肥、腐殖酸、水溶性肥料、</w:t>
      </w: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</w:rPr>
        <w:t>菌肥、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叶面肥、土壤改良剂、各类特种肥料及包装、生产设备与材料</w:t>
      </w: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综合类：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各类作物种子、种苗，温室设施、节水灌溉、小型农机、信息化农业、都市农业、农业金融服务、农用电商以及其他农业高新技术。</w:t>
      </w:r>
    </w:p>
    <w:p>
      <w:pPr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花生区：</w:t>
      </w:r>
    </w:p>
    <w:p>
      <w:pPr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花生种子、花生用药、花生机械以及有关花生种植、加工等相关技术资讯。</w:t>
      </w:r>
    </w:p>
    <w:p>
      <w:pPr>
        <w:spacing w:line="460" w:lineRule="exact"/>
        <w:rPr>
          <w:rFonts w:ascii="方正黑体_GBK" w:hAnsi="方正黑体_GBK" w:eastAsia="方正黑体_GBK" w:cs="方正黑体_GBK"/>
          <w:b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【展位费用】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标准展位：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洞位5500元/个、角位6000元/个</w:t>
      </w:r>
    </w:p>
    <w:p>
      <w:pPr>
        <w:ind w:firstLine="1120" w:firstLineChars="4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（包含地毯、展板、楣板、洽谈桌椅、220V电源）</w:t>
      </w:r>
    </w:p>
    <w:p>
      <w:pPr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微型特装：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18平方米13800元/组、27平方米19600元/组</w:t>
      </w:r>
    </w:p>
    <w:p>
      <w:pPr>
        <w:ind w:firstLine="1120" w:firstLineChars="4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（包含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桁架标准装修、15A以下电源、特装管理费）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特装展位（36㎡以上）：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不含装修550元/㎡、含桁架装修700元/㎡</w:t>
      </w:r>
    </w:p>
    <w:p>
      <w:pPr>
        <w:ind w:firstLine="1120" w:firstLineChars="4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（仅空地，不含特装管理费、电源等任何设施）</w:t>
      </w:r>
    </w:p>
    <w:p>
      <w:pPr>
        <w:spacing w:line="460" w:lineRule="exact"/>
        <w:rPr>
          <w:rFonts w:ascii="方正黑体_GBK" w:hAnsi="方正黑体_GBK" w:eastAsia="方正黑体_GBK" w:cs="方正黑体_GBK"/>
          <w:b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【其他广告】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会刊封面20000元、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会刊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封二/扉页8000元、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会刊彩页3000元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嘉宾请柬12000元/组、门票广告10000元/组、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参观指南10000元</w:t>
      </w: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宣传展报3000元/栏、手提袋10000元/2000个、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广场威风旗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：300元/面</w:t>
      </w:r>
    </w:p>
    <w:p>
      <w:pPr>
        <w:rPr>
          <w:rFonts w:hint="default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入口广告牌8000元 /面（4*8m）、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大会广场拱门：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3000元/面（18米跨度）、室内通道广告牌：2.5米*5米 4000元、室外宣传舞台：10米 12000元、</w:t>
      </w:r>
    </w:p>
    <w:p>
      <w:pPr>
        <w:rPr>
          <w:rFonts w:ascii="仿宋_GB2312" w:hAnsi="宋体" w:eastAsia="仿宋_GB2312" w:cs="Arial"/>
          <w:b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【参展要求】</w:t>
      </w:r>
    </w:p>
    <w:p>
      <w:pPr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参会企业须经国家各级工商部门注册。参展展品必须经生产所在地主管部门鉴定且取得合格证明，法律证件齐备，严格杜绝伪、劣、假、冒商品参会。</w:t>
      </w:r>
    </w:p>
    <w:p>
      <w:pPr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大会禁止侵犯他人（企业）商标权、著作权、专利权以及其他知识产权的企业（产品）参展，大会现场禁止夸大事实的虚假宣传。</w:t>
      </w:r>
    </w:p>
    <w:p>
      <w:pPr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参展企业应严格服从大会的统一指挥与安排，自觉遵守现场有关消防及大型活动相关规定。</w:t>
      </w:r>
    </w:p>
    <w:p>
      <w:pPr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大会现场禁止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携带扩音设备（如需携带，请缴纳2000元管理押金，音响使用超过80分贝，管理押金不予返还）。</w:t>
      </w:r>
    </w:p>
    <w:p>
      <w:pPr>
        <w:rPr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5、大会现场禁止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吸烟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、禁止乱发传单、禁止人体彩绘、禁止使用涉嫌军用服装等宣传方式，禁止使用气模游走、禁止举牌展位外游行。</w:t>
      </w:r>
    </w:p>
    <w:p>
      <w:pPr>
        <w:spacing w:line="460" w:lineRule="exact"/>
        <w:rPr>
          <w:rFonts w:ascii="方正黑体_GBK" w:hAnsi="方正黑体_GBK" w:eastAsia="方正黑体_GBK" w:cs="方正黑体_GBK"/>
          <w:b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【详情咨询】</w:t>
      </w:r>
    </w:p>
    <w:p>
      <w:pPr>
        <w:rPr>
          <w:rFonts w:ascii="方正黑体_GBK" w:hAnsi="方正黑体_GBK" w:eastAsia="方正黑体_GBK" w:cs="方正黑体_GBK"/>
          <w:b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/>
          <w:sz w:val="30"/>
          <w:szCs w:val="30"/>
        </w:rPr>
        <w:t>辽宁阳光国际会展有限公司</w:t>
      </w:r>
    </w:p>
    <w:p>
      <w:pPr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参展合作咨询：024-23180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789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 xml:space="preserve">  18640582340  张红雨</w:t>
      </w:r>
    </w:p>
    <w:p>
      <w:pPr>
        <w:spacing w:line="460" w:lineRule="exact"/>
        <w:rPr>
          <w:rFonts w:ascii="方正黑体_GBK" w:hAnsi="方正黑体_GBK" w:eastAsia="方正黑体_GBK" w:cs="方正黑体_GBK"/>
          <w:b/>
          <w:sz w:val="30"/>
          <w:szCs w:val="30"/>
        </w:rPr>
      </w:pPr>
    </w:p>
    <w:p>
      <w:pPr>
        <w:pStyle w:val="3"/>
        <w:tabs>
          <w:tab w:val="left" w:pos="5850"/>
        </w:tabs>
        <w:spacing w:line="360" w:lineRule="exact"/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 w:cs="Arial"/>
          <w:sz w:val="30"/>
          <w:szCs w:val="30"/>
        </w:rPr>
      </w:pPr>
    </w:p>
    <w:p/>
    <w:sectPr>
      <w:pgSz w:w="11906" w:h="16838"/>
      <w:pgMar w:top="1213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D94472"/>
    <w:multiLevelType w:val="singleLevel"/>
    <w:tmpl w:val="5AD944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422EB3"/>
    <w:rsid w:val="009D15A8"/>
    <w:rsid w:val="00EB14B8"/>
    <w:rsid w:val="19D44844"/>
    <w:rsid w:val="21AD513C"/>
    <w:rsid w:val="23F87C91"/>
    <w:rsid w:val="25422EB3"/>
    <w:rsid w:val="28C72057"/>
    <w:rsid w:val="2D7C3D51"/>
    <w:rsid w:val="32A17165"/>
    <w:rsid w:val="3745490E"/>
    <w:rsid w:val="3D8F0F90"/>
    <w:rsid w:val="47AC76BE"/>
    <w:rsid w:val="4F3471DC"/>
    <w:rsid w:val="6135443F"/>
    <w:rsid w:val="6BD01160"/>
    <w:rsid w:val="6EA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800" w:lineRule="exact"/>
      <w:jc w:val="right"/>
      <w:outlineLvl w:val="0"/>
    </w:pPr>
    <w:rPr>
      <w:rFonts w:ascii="Arial Black" w:hAnsi="Arial Black"/>
      <w:sz w:val="7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rial Black" w:hAnsi="Arial Black"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style591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313</Words>
  <Characters>1789</Characters>
  <Lines>14</Lines>
  <Paragraphs>4</Paragraphs>
  <TotalTime>79</TotalTime>
  <ScaleCrop>false</ScaleCrop>
  <LinksUpToDate>false</LinksUpToDate>
  <CharactersWithSpaces>2098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2020-02-14T06:00:00Z</dcterms:created>
  <dc:creator>Administrator</dc:creator>
  <cp:lastModifiedBy>Administrator</cp:lastModifiedBy>
  <dcterms:modified xsi:type="dcterms:W3CDTF">2021-08-25T01:36:23Z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F2A4B27EB15A43B7886059C1D139A44D</vt:lpwstr>
  </property>
</Properties>
</file>